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C" w:rsidRPr="00795E21" w:rsidRDefault="00603670" w:rsidP="00603670">
      <w:pPr>
        <w:pStyle w:val="Default"/>
        <w:spacing w:line="276" w:lineRule="auto"/>
        <w:jc w:val="right"/>
        <w:rPr>
          <w:rFonts w:ascii="Arial" w:hAnsi="Arial" w:cs="Arial"/>
          <w:sz w:val="16"/>
          <w:szCs w:val="16"/>
        </w:rPr>
      </w:pPr>
      <w:r w:rsidRPr="00795E21">
        <w:rPr>
          <w:rFonts w:ascii="Arial" w:hAnsi="Arial" w:cs="Arial"/>
          <w:sz w:val="16"/>
          <w:szCs w:val="16"/>
        </w:rPr>
        <w:t>SAG 2015/604-I</w:t>
      </w:r>
    </w:p>
    <w:p w:rsidR="00901141" w:rsidRPr="00795E21" w:rsidRDefault="00901141" w:rsidP="00901141">
      <w:pPr>
        <w:pStyle w:val="Default"/>
        <w:spacing w:line="276" w:lineRule="auto"/>
        <w:jc w:val="both"/>
        <w:rPr>
          <w:rFonts w:ascii="Arial" w:hAnsi="Arial" w:cs="Arial"/>
          <w:sz w:val="21"/>
          <w:szCs w:val="21"/>
        </w:rPr>
      </w:pPr>
    </w:p>
    <w:p w:rsidR="00901141" w:rsidRPr="00795E21" w:rsidRDefault="00901141" w:rsidP="00901141">
      <w:pPr>
        <w:pStyle w:val="Default"/>
        <w:spacing w:line="276" w:lineRule="auto"/>
        <w:jc w:val="both"/>
        <w:rPr>
          <w:rFonts w:ascii="Arial" w:hAnsi="Arial" w:cs="Arial"/>
          <w:sz w:val="21"/>
          <w:szCs w:val="21"/>
        </w:rPr>
      </w:pPr>
    </w:p>
    <w:p w:rsidR="00603670" w:rsidRPr="00795E21" w:rsidRDefault="00603670" w:rsidP="00901141">
      <w:pPr>
        <w:pStyle w:val="Default"/>
        <w:spacing w:line="276" w:lineRule="auto"/>
        <w:jc w:val="both"/>
        <w:rPr>
          <w:rFonts w:ascii="Arial" w:hAnsi="Arial" w:cs="Arial"/>
          <w:sz w:val="21"/>
          <w:szCs w:val="21"/>
        </w:rPr>
      </w:pPr>
      <w:bookmarkStart w:id="0" w:name="_GoBack"/>
      <w:r w:rsidRPr="00795E21">
        <w:rPr>
          <w:rFonts w:ascii="Arial" w:hAnsi="Arial" w:cs="Arial"/>
          <w:sz w:val="21"/>
          <w:szCs w:val="21"/>
        </w:rPr>
        <w:t>En relació a la consulta plantejada per l’Institut Municipal d’Informàtica respecte de la legalitat de comunicar dades d’un ciutadà a la Direcció General de Pensions Danesa</w:t>
      </w:r>
      <w:bookmarkEnd w:id="0"/>
      <w:r w:rsidRPr="00795E21">
        <w:rPr>
          <w:rFonts w:ascii="Arial" w:hAnsi="Arial" w:cs="Arial"/>
          <w:sz w:val="21"/>
          <w:szCs w:val="21"/>
        </w:rPr>
        <w:t>, la lletrada que sotasigna, de conformitat amb les normes del Servei emet el següent</w:t>
      </w:r>
    </w:p>
    <w:p w:rsidR="00603670" w:rsidRDefault="00603670" w:rsidP="00901141">
      <w:pPr>
        <w:pStyle w:val="Default"/>
        <w:spacing w:line="276" w:lineRule="auto"/>
        <w:jc w:val="both"/>
        <w:rPr>
          <w:rFonts w:ascii="Arial" w:hAnsi="Arial" w:cs="Arial"/>
          <w:sz w:val="21"/>
          <w:szCs w:val="21"/>
        </w:rPr>
      </w:pPr>
    </w:p>
    <w:p w:rsidR="00795E21" w:rsidRPr="00795E21" w:rsidRDefault="00795E21" w:rsidP="00901141">
      <w:pPr>
        <w:pStyle w:val="Default"/>
        <w:spacing w:line="276" w:lineRule="auto"/>
        <w:jc w:val="both"/>
        <w:rPr>
          <w:rFonts w:ascii="Arial" w:hAnsi="Arial" w:cs="Arial"/>
          <w:sz w:val="21"/>
          <w:szCs w:val="21"/>
        </w:rPr>
      </w:pPr>
    </w:p>
    <w:p w:rsidR="00603670" w:rsidRPr="00795E21" w:rsidRDefault="00603670" w:rsidP="00603670">
      <w:pPr>
        <w:pStyle w:val="Default"/>
        <w:spacing w:line="276" w:lineRule="auto"/>
        <w:jc w:val="center"/>
        <w:rPr>
          <w:rFonts w:ascii="Arial" w:hAnsi="Arial" w:cs="Arial"/>
          <w:b/>
          <w:sz w:val="21"/>
          <w:szCs w:val="21"/>
          <w:u w:val="single"/>
        </w:rPr>
      </w:pPr>
      <w:r w:rsidRPr="00795E21">
        <w:rPr>
          <w:rFonts w:ascii="Arial" w:hAnsi="Arial" w:cs="Arial"/>
          <w:b/>
          <w:sz w:val="21"/>
          <w:szCs w:val="21"/>
          <w:u w:val="single"/>
        </w:rPr>
        <w:t>INFORME</w:t>
      </w:r>
    </w:p>
    <w:p w:rsidR="00901141" w:rsidRDefault="00901141" w:rsidP="00901141">
      <w:pPr>
        <w:pStyle w:val="Default"/>
        <w:spacing w:line="276" w:lineRule="auto"/>
        <w:jc w:val="both"/>
        <w:rPr>
          <w:rFonts w:ascii="Arial" w:hAnsi="Arial" w:cs="Arial"/>
          <w:sz w:val="21"/>
          <w:szCs w:val="21"/>
        </w:rPr>
      </w:pPr>
    </w:p>
    <w:p w:rsidR="00795E21" w:rsidRDefault="00795E21" w:rsidP="00901141">
      <w:pPr>
        <w:pStyle w:val="Default"/>
        <w:spacing w:line="276" w:lineRule="auto"/>
        <w:jc w:val="both"/>
        <w:rPr>
          <w:rFonts w:ascii="Arial" w:hAnsi="Arial" w:cs="Arial"/>
          <w:sz w:val="21"/>
          <w:szCs w:val="21"/>
        </w:rPr>
      </w:pPr>
      <w:r w:rsidRPr="00795E21">
        <w:rPr>
          <w:rFonts w:ascii="Arial" w:hAnsi="Arial" w:cs="Arial"/>
          <w:b/>
          <w:sz w:val="21"/>
          <w:szCs w:val="21"/>
        </w:rPr>
        <w:t>1.-</w:t>
      </w:r>
      <w:r>
        <w:rPr>
          <w:rFonts w:ascii="Arial" w:hAnsi="Arial" w:cs="Arial"/>
          <w:sz w:val="21"/>
          <w:szCs w:val="21"/>
        </w:rPr>
        <w:t xml:space="preserve"> Com a antecedents a aquest informe figuren la petició enviada per la Unitat de Control, de la Direcció General de Pensions, de l’ambaixada Reial de Dinamarca al Padró Municipal per tal que li sigui enviat un certificat d’empadronament d’un ciutadà. La petició es fa en el marc d’una campanya que </w:t>
      </w:r>
      <w:r w:rsidR="00003AD6">
        <w:rPr>
          <w:rFonts w:ascii="Arial" w:hAnsi="Arial" w:cs="Arial"/>
          <w:sz w:val="21"/>
          <w:szCs w:val="21"/>
        </w:rPr>
        <w:t>s’està</w:t>
      </w:r>
      <w:r>
        <w:rPr>
          <w:rFonts w:ascii="Arial" w:hAnsi="Arial" w:cs="Arial"/>
          <w:sz w:val="21"/>
          <w:szCs w:val="21"/>
        </w:rPr>
        <w:t xml:space="preserve"> duent a terme de control amb els beneficiaris de pensió danesa que resideixen a Espanya.</w:t>
      </w:r>
    </w:p>
    <w:p w:rsidR="00CD6D51" w:rsidRDefault="00CD6D51" w:rsidP="00901141">
      <w:pPr>
        <w:pStyle w:val="Default"/>
        <w:spacing w:line="276" w:lineRule="auto"/>
        <w:jc w:val="both"/>
        <w:rPr>
          <w:rFonts w:ascii="Arial" w:hAnsi="Arial" w:cs="Arial"/>
          <w:sz w:val="21"/>
          <w:szCs w:val="21"/>
        </w:rPr>
      </w:pPr>
    </w:p>
    <w:p w:rsidR="00CD6D51" w:rsidRDefault="00CD6D51" w:rsidP="00901141">
      <w:pPr>
        <w:pStyle w:val="Default"/>
        <w:spacing w:line="276" w:lineRule="auto"/>
        <w:jc w:val="both"/>
        <w:rPr>
          <w:rFonts w:ascii="Arial" w:hAnsi="Arial" w:cs="Arial"/>
          <w:i/>
          <w:sz w:val="21"/>
          <w:szCs w:val="21"/>
        </w:rPr>
      </w:pPr>
      <w:r>
        <w:rPr>
          <w:rFonts w:ascii="Arial" w:hAnsi="Arial" w:cs="Arial"/>
          <w:sz w:val="21"/>
          <w:szCs w:val="21"/>
        </w:rPr>
        <w:t xml:space="preserve">Acompanyen a la petició comunicació del Gabinet de la Presidència, Unitat del Padró, de l’Institut Nacional d’estadística de data 4 d’octubre de 2011 en la que, contestant una petició similar a la present, fa constar que </w:t>
      </w:r>
      <w:r>
        <w:rPr>
          <w:rFonts w:ascii="Arial" w:hAnsi="Arial" w:cs="Arial"/>
          <w:i/>
          <w:sz w:val="21"/>
          <w:szCs w:val="21"/>
        </w:rPr>
        <w:t>“No obstant</w:t>
      </w:r>
      <w:r w:rsidR="00003AD6">
        <w:rPr>
          <w:rFonts w:ascii="Arial" w:hAnsi="Arial" w:cs="Arial"/>
          <w:i/>
          <w:sz w:val="21"/>
          <w:szCs w:val="21"/>
        </w:rPr>
        <w:t>e</w:t>
      </w:r>
      <w:r>
        <w:rPr>
          <w:rFonts w:ascii="Arial" w:hAnsi="Arial" w:cs="Arial"/>
          <w:i/>
          <w:sz w:val="21"/>
          <w:szCs w:val="21"/>
        </w:rPr>
        <w:t>, la interpretación restrictiva que, en opinión de la Agencia de Protección de Datos, debe hacerse de este articulo determina que solo podran cederse, sin el previo consentimiento del afectado, los datos del Padrón relatives al domicilio o residencia de una relación de persones facilitades por la Administración Pública solicitante, siempre que esta información le sea necesaria para el ejecricio de sus respectiv</w:t>
      </w:r>
      <w:r w:rsidR="00003AD6">
        <w:rPr>
          <w:rFonts w:ascii="Arial" w:hAnsi="Arial" w:cs="Arial"/>
          <w:i/>
          <w:sz w:val="21"/>
          <w:szCs w:val="21"/>
        </w:rPr>
        <w:t>a</w:t>
      </w:r>
      <w:r>
        <w:rPr>
          <w:rFonts w:ascii="Arial" w:hAnsi="Arial" w:cs="Arial"/>
          <w:i/>
          <w:sz w:val="21"/>
          <w:szCs w:val="21"/>
        </w:rPr>
        <w:t>s competencias y exclusivamente para asuntos en los que la residencia o el domicilio sean datos relevantes.</w:t>
      </w:r>
    </w:p>
    <w:p w:rsidR="00CD6D51" w:rsidRDefault="00CD6D51" w:rsidP="00901141">
      <w:pPr>
        <w:pStyle w:val="Default"/>
        <w:spacing w:line="276" w:lineRule="auto"/>
        <w:jc w:val="both"/>
        <w:rPr>
          <w:rFonts w:ascii="Arial" w:hAnsi="Arial" w:cs="Arial"/>
          <w:i/>
          <w:sz w:val="21"/>
          <w:szCs w:val="21"/>
        </w:rPr>
      </w:pPr>
    </w:p>
    <w:p w:rsidR="00CD6D51" w:rsidRDefault="00CD6D51" w:rsidP="00901141">
      <w:pPr>
        <w:pStyle w:val="Default"/>
        <w:spacing w:line="276" w:lineRule="auto"/>
        <w:jc w:val="both"/>
        <w:rPr>
          <w:rFonts w:ascii="Arial" w:hAnsi="Arial" w:cs="Arial"/>
          <w:i/>
          <w:sz w:val="21"/>
          <w:szCs w:val="21"/>
        </w:rPr>
      </w:pPr>
      <w:r>
        <w:rPr>
          <w:rFonts w:ascii="Arial" w:hAnsi="Arial" w:cs="Arial"/>
          <w:i/>
          <w:sz w:val="21"/>
          <w:szCs w:val="21"/>
        </w:rPr>
        <w:t>El caso que nos ocupa se refiere a la cesión de datos de caràcter personal entre distintos Es</w:t>
      </w:r>
      <w:r w:rsidR="00003AD6">
        <w:rPr>
          <w:rFonts w:ascii="Arial" w:hAnsi="Arial" w:cs="Arial"/>
          <w:i/>
          <w:sz w:val="21"/>
          <w:szCs w:val="21"/>
        </w:rPr>
        <w:t>tados pero como se trata de miem</w:t>
      </w:r>
      <w:r>
        <w:rPr>
          <w:rFonts w:ascii="Arial" w:hAnsi="Arial" w:cs="Arial"/>
          <w:i/>
          <w:sz w:val="21"/>
          <w:szCs w:val="21"/>
        </w:rPr>
        <w:t>bros de la Unión Europea y existe una armonización en su legislación sobre protección de datos, la cesión de datos sería procedente (...)”.</w:t>
      </w:r>
    </w:p>
    <w:p w:rsidR="00CD6D51" w:rsidRDefault="00CD6D51" w:rsidP="00901141">
      <w:pPr>
        <w:pStyle w:val="Default"/>
        <w:spacing w:line="276" w:lineRule="auto"/>
        <w:jc w:val="both"/>
        <w:rPr>
          <w:rFonts w:ascii="Arial" w:hAnsi="Arial" w:cs="Arial"/>
          <w:i/>
          <w:sz w:val="21"/>
          <w:szCs w:val="21"/>
        </w:rPr>
      </w:pPr>
    </w:p>
    <w:p w:rsidR="008924D4" w:rsidRDefault="00CD6D51" w:rsidP="00901141">
      <w:pPr>
        <w:pStyle w:val="Default"/>
        <w:spacing w:line="276" w:lineRule="auto"/>
        <w:jc w:val="both"/>
        <w:rPr>
          <w:rFonts w:ascii="Arial" w:hAnsi="Arial" w:cs="Arial"/>
          <w:sz w:val="21"/>
          <w:szCs w:val="21"/>
        </w:rPr>
      </w:pPr>
      <w:r>
        <w:rPr>
          <w:rFonts w:ascii="Arial" w:hAnsi="Arial" w:cs="Arial"/>
          <w:sz w:val="21"/>
          <w:szCs w:val="21"/>
        </w:rPr>
        <w:t>Rebuda aquesta petició per l’òrgan gestor es formula consulta a l’Autoritat Catalana de Protecció de Dades</w:t>
      </w:r>
      <w:r w:rsidR="00F529D4">
        <w:rPr>
          <w:rFonts w:ascii="Arial" w:hAnsi="Arial" w:cs="Arial"/>
          <w:sz w:val="21"/>
          <w:szCs w:val="21"/>
        </w:rPr>
        <w:t xml:space="preserve"> (</w:t>
      </w:r>
      <w:r w:rsidR="002D32B1">
        <w:rPr>
          <w:rFonts w:ascii="Arial" w:hAnsi="Arial" w:cs="Arial"/>
          <w:sz w:val="21"/>
          <w:szCs w:val="21"/>
        </w:rPr>
        <w:t>A</w:t>
      </w:r>
      <w:r w:rsidR="00F529D4">
        <w:rPr>
          <w:rFonts w:ascii="Arial" w:hAnsi="Arial" w:cs="Arial"/>
          <w:sz w:val="21"/>
          <w:szCs w:val="21"/>
        </w:rPr>
        <w:t>pdcat, en endavant)</w:t>
      </w:r>
      <w:r>
        <w:rPr>
          <w:rFonts w:ascii="Arial" w:hAnsi="Arial" w:cs="Arial"/>
          <w:sz w:val="21"/>
          <w:szCs w:val="21"/>
        </w:rPr>
        <w:t xml:space="preserve"> la qual, de manera resumida, conclou</w:t>
      </w:r>
      <w:r w:rsidR="00F63F1D">
        <w:rPr>
          <w:rFonts w:ascii="Arial" w:hAnsi="Arial" w:cs="Arial"/>
          <w:sz w:val="21"/>
          <w:szCs w:val="21"/>
        </w:rPr>
        <w:t xml:space="preserve">: </w:t>
      </w:r>
    </w:p>
    <w:p w:rsidR="008924D4" w:rsidRDefault="008924D4" w:rsidP="008924D4">
      <w:pPr>
        <w:pStyle w:val="Default"/>
        <w:spacing w:line="276" w:lineRule="auto"/>
        <w:jc w:val="both"/>
        <w:rPr>
          <w:rFonts w:ascii="Arial" w:hAnsi="Arial" w:cs="Arial"/>
          <w:sz w:val="21"/>
          <w:szCs w:val="21"/>
        </w:rPr>
      </w:pPr>
    </w:p>
    <w:p w:rsidR="008924D4" w:rsidRDefault="00F63F1D" w:rsidP="008924D4">
      <w:pPr>
        <w:pStyle w:val="Default"/>
        <w:spacing w:line="276" w:lineRule="auto"/>
        <w:ind w:left="567"/>
        <w:jc w:val="both"/>
        <w:rPr>
          <w:rFonts w:ascii="Arial" w:hAnsi="Arial" w:cs="Arial"/>
          <w:sz w:val="21"/>
          <w:szCs w:val="21"/>
        </w:rPr>
      </w:pPr>
      <w:r>
        <w:rPr>
          <w:rFonts w:ascii="Arial" w:hAnsi="Arial" w:cs="Arial"/>
          <w:sz w:val="21"/>
          <w:szCs w:val="21"/>
        </w:rPr>
        <w:t>1).-</w:t>
      </w:r>
      <w:r w:rsidR="00CD6D51">
        <w:rPr>
          <w:rFonts w:ascii="Arial" w:hAnsi="Arial" w:cs="Arial"/>
          <w:sz w:val="21"/>
          <w:szCs w:val="21"/>
        </w:rPr>
        <w:t xml:space="preserve"> que la comunicació de dades </w:t>
      </w:r>
      <w:r>
        <w:rPr>
          <w:rFonts w:ascii="Arial" w:hAnsi="Arial" w:cs="Arial"/>
          <w:sz w:val="21"/>
          <w:szCs w:val="21"/>
        </w:rPr>
        <w:t xml:space="preserve">a Dinamarca, en tant que estat membre de la Unió </w:t>
      </w:r>
      <w:r w:rsidR="008924D4">
        <w:rPr>
          <w:rFonts w:ascii="Arial" w:hAnsi="Arial" w:cs="Arial"/>
          <w:sz w:val="21"/>
          <w:szCs w:val="21"/>
        </w:rPr>
        <w:t>E</w:t>
      </w:r>
      <w:r>
        <w:rPr>
          <w:rFonts w:ascii="Arial" w:hAnsi="Arial" w:cs="Arial"/>
          <w:sz w:val="21"/>
          <w:szCs w:val="21"/>
        </w:rPr>
        <w:t>uropea, no planteja cap obstacle jurídic des</w:t>
      </w:r>
      <w:r w:rsidR="008924D4">
        <w:rPr>
          <w:rFonts w:ascii="Arial" w:hAnsi="Arial" w:cs="Arial"/>
          <w:sz w:val="21"/>
          <w:szCs w:val="21"/>
        </w:rPr>
        <w:t xml:space="preserve"> </w:t>
      </w:r>
      <w:r>
        <w:rPr>
          <w:rFonts w:ascii="Arial" w:hAnsi="Arial" w:cs="Arial"/>
          <w:sz w:val="21"/>
          <w:szCs w:val="21"/>
        </w:rPr>
        <w:t>de la ves</w:t>
      </w:r>
      <w:r w:rsidR="00003AD6">
        <w:rPr>
          <w:rFonts w:ascii="Arial" w:hAnsi="Arial" w:cs="Arial"/>
          <w:sz w:val="21"/>
          <w:szCs w:val="21"/>
        </w:rPr>
        <w:t>s</w:t>
      </w:r>
      <w:r>
        <w:rPr>
          <w:rFonts w:ascii="Arial" w:hAnsi="Arial" w:cs="Arial"/>
          <w:sz w:val="21"/>
          <w:szCs w:val="21"/>
        </w:rPr>
        <w:t>ant de transferències internacional de dades;</w:t>
      </w:r>
    </w:p>
    <w:p w:rsidR="008924D4" w:rsidRDefault="008924D4" w:rsidP="008924D4">
      <w:pPr>
        <w:pStyle w:val="Default"/>
        <w:spacing w:line="276" w:lineRule="auto"/>
        <w:ind w:left="567"/>
        <w:jc w:val="both"/>
        <w:rPr>
          <w:rFonts w:ascii="Arial" w:hAnsi="Arial" w:cs="Arial"/>
          <w:sz w:val="21"/>
          <w:szCs w:val="21"/>
        </w:rPr>
      </w:pPr>
      <w:r>
        <w:rPr>
          <w:rFonts w:ascii="Arial" w:hAnsi="Arial" w:cs="Arial"/>
          <w:sz w:val="21"/>
          <w:szCs w:val="21"/>
        </w:rPr>
        <w:tab/>
      </w:r>
    </w:p>
    <w:p w:rsidR="00CD6D51" w:rsidRDefault="00F63F1D" w:rsidP="008924D4">
      <w:pPr>
        <w:pStyle w:val="Default"/>
        <w:spacing w:line="276" w:lineRule="auto"/>
        <w:ind w:left="567"/>
        <w:jc w:val="both"/>
        <w:rPr>
          <w:rFonts w:ascii="Arial" w:hAnsi="Arial" w:cs="Arial"/>
          <w:i/>
          <w:sz w:val="21"/>
          <w:szCs w:val="21"/>
        </w:rPr>
      </w:pPr>
      <w:r>
        <w:rPr>
          <w:rFonts w:ascii="Arial" w:hAnsi="Arial" w:cs="Arial"/>
          <w:sz w:val="21"/>
          <w:szCs w:val="21"/>
        </w:rPr>
        <w:t>2).- que,</w:t>
      </w:r>
      <w:r w:rsidR="008924D4">
        <w:rPr>
          <w:rFonts w:ascii="Arial" w:hAnsi="Arial" w:cs="Arial"/>
          <w:sz w:val="21"/>
          <w:szCs w:val="21"/>
        </w:rPr>
        <w:t xml:space="preserve"> al marge de l’anterior,</w:t>
      </w:r>
      <w:r>
        <w:rPr>
          <w:rFonts w:ascii="Arial" w:hAnsi="Arial" w:cs="Arial"/>
          <w:sz w:val="21"/>
          <w:szCs w:val="21"/>
        </w:rPr>
        <w:t xml:space="preserve"> la comunicació de dades </w:t>
      </w:r>
      <w:r w:rsidR="00CD6D51">
        <w:rPr>
          <w:rFonts w:ascii="Arial" w:hAnsi="Arial" w:cs="Arial"/>
          <w:sz w:val="21"/>
          <w:szCs w:val="21"/>
        </w:rPr>
        <w:t>que consten al Padró requereix de consentiment de la persona titular de les dades o de la existència de norma amb rang legal que habiliti aquesta comunicació</w:t>
      </w:r>
      <w:r w:rsidR="008924D4">
        <w:rPr>
          <w:rFonts w:ascii="Arial" w:hAnsi="Arial" w:cs="Arial"/>
          <w:sz w:val="21"/>
          <w:szCs w:val="21"/>
        </w:rPr>
        <w:t xml:space="preserve">. A aquests efectes l’article 16.3 de la LBRL que regula la cessió de dades del padró a d’altres administracions públiques no resulta d’aplicació ja que, de conformitat amb l’article 2 de la LRJPAC, dins el concepte d’administració publica </w:t>
      </w:r>
      <w:r w:rsidR="00003AD6">
        <w:rPr>
          <w:rFonts w:ascii="Arial" w:hAnsi="Arial" w:cs="Arial"/>
          <w:sz w:val="21"/>
          <w:szCs w:val="21"/>
        </w:rPr>
        <w:t xml:space="preserve">als efectes de </w:t>
      </w:r>
      <w:r w:rsidR="008924D4">
        <w:rPr>
          <w:rFonts w:ascii="Arial" w:hAnsi="Arial" w:cs="Arial"/>
          <w:sz w:val="21"/>
          <w:szCs w:val="21"/>
        </w:rPr>
        <w:t>la LBRL</w:t>
      </w:r>
      <w:r w:rsidR="00003AD6">
        <w:rPr>
          <w:rFonts w:ascii="Arial" w:hAnsi="Arial" w:cs="Arial"/>
          <w:sz w:val="21"/>
          <w:szCs w:val="21"/>
        </w:rPr>
        <w:t>,</w:t>
      </w:r>
      <w:r w:rsidR="008924D4">
        <w:rPr>
          <w:rFonts w:ascii="Arial" w:hAnsi="Arial" w:cs="Arial"/>
          <w:sz w:val="21"/>
          <w:szCs w:val="21"/>
        </w:rPr>
        <w:t xml:space="preserve"> no s’hi inclouen les administracions d’altres estats.</w:t>
      </w:r>
      <w:r w:rsidR="00CD6D51">
        <w:rPr>
          <w:rFonts w:ascii="Arial" w:hAnsi="Arial" w:cs="Arial"/>
          <w:sz w:val="21"/>
          <w:szCs w:val="21"/>
        </w:rPr>
        <w:t xml:space="preserve"> </w:t>
      </w:r>
      <w:r w:rsidR="00CD6D51">
        <w:rPr>
          <w:rFonts w:ascii="Arial" w:hAnsi="Arial" w:cs="Arial"/>
          <w:i/>
          <w:sz w:val="21"/>
          <w:szCs w:val="21"/>
        </w:rPr>
        <w:t xml:space="preserve"> </w:t>
      </w:r>
    </w:p>
    <w:p w:rsidR="008924D4" w:rsidRDefault="008924D4" w:rsidP="008924D4">
      <w:pPr>
        <w:pStyle w:val="Default"/>
        <w:spacing w:line="276" w:lineRule="auto"/>
        <w:ind w:left="567"/>
        <w:jc w:val="both"/>
        <w:rPr>
          <w:rFonts w:ascii="Arial" w:hAnsi="Arial" w:cs="Arial"/>
          <w:i/>
          <w:sz w:val="21"/>
          <w:szCs w:val="21"/>
        </w:rPr>
      </w:pPr>
    </w:p>
    <w:p w:rsidR="008924D4" w:rsidRDefault="008924D4" w:rsidP="008924D4">
      <w:pPr>
        <w:pStyle w:val="Default"/>
        <w:spacing w:line="276" w:lineRule="auto"/>
        <w:ind w:left="567"/>
        <w:jc w:val="both"/>
        <w:rPr>
          <w:rFonts w:ascii="Arial" w:hAnsi="Arial" w:cs="Arial"/>
          <w:sz w:val="21"/>
          <w:szCs w:val="21"/>
        </w:rPr>
      </w:pPr>
      <w:r>
        <w:rPr>
          <w:rFonts w:ascii="Arial" w:hAnsi="Arial" w:cs="Arial"/>
          <w:sz w:val="21"/>
          <w:szCs w:val="21"/>
        </w:rPr>
        <w:lastRenderedPageBreak/>
        <w:t>Per tant, per tal de poder comunicar les dades personals sense consentiment de l’interessat caldrà mirar si, en funció de la finalitat de la comunicació, hi ha una altra norma amb rang de llei o conveni internacional ratificat per Espanya que l’empari.</w:t>
      </w:r>
    </w:p>
    <w:p w:rsidR="008924D4" w:rsidRDefault="008924D4" w:rsidP="008924D4">
      <w:pPr>
        <w:pStyle w:val="Default"/>
        <w:spacing w:line="276" w:lineRule="auto"/>
        <w:ind w:left="567"/>
        <w:jc w:val="both"/>
        <w:rPr>
          <w:rFonts w:ascii="Arial" w:hAnsi="Arial" w:cs="Arial"/>
          <w:sz w:val="21"/>
          <w:szCs w:val="21"/>
        </w:rPr>
      </w:pPr>
    </w:p>
    <w:p w:rsidR="008924D4" w:rsidRPr="008924D4" w:rsidRDefault="008924D4" w:rsidP="008924D4">
      <w:pPr>
        <w:pStyle w:val="Default"/>
        <w:spacing w:line="276" w:lineRule="auto"/>
        <w:ind w:left="567"/>
        <w:jc w:val="both"/>
        <w:rPr>
          <w:rFonts w:ascii="Arial" w:hAnsi="Arial" w:cs="Arial"/>
          <w:sz w:val="21"/>
          <w:szCs w:val="21"/>
        </w:rPr>
      </w:pPr>
      <w:r>
        <w:rPr>
          <w:rFonts w:ascii="Arial" w:hAnsi="Arial" w:cs="Arial"/>
          <w:sz w:val="21"/>
          <w:szCs w:val="21"/>
        </w:rPr>
        <w:t>Cal dir que l’</w:t>
      </w:r>
      <w:r w:rsidR="002D32B1">
        <w:rPr>
          <w:rFonts w:ascii="Arial" w:hAnsi="Arial" w:cs="Arial"/>
          <w:sz w:val="21"/>
          <w:szCs w:val="21"/>
        </w:rPr>
        <w:t>A</w:t>
      </w:r>
      <w:r w:rsidR="00F529D4">
        <w:rPr>
          <w:rFonts w:ascii="Arial" w:hAnsi="Arial" w:cs="Arial"/>
          <w:sz w:val="21"/>
          <w:szCs w:val="21"/>
        </w:rPr>
        <w:t>pdcat</w:t>
      </w:r>
      <w:r>
        <w:rPr>
          <w:rFonts w:ascii="Arial" w:hAnsi="Arial" w:cs="Arial"/>
          <w:sz w:val="21"/>
          <w:szCs w:val="21"/>
        </w:rPr>
        <w:t xml:space="preserve"> no resol aquesta última qüestió.</w:t>
      </w:r>
    </w:p>
    <w:p w:rsidR="00795E21" w:rsidRDefault="00795E21" w:rsidP="00901141">
      <w:pPr>
        <w:pStyle w:val="Default"/>
        <w:spacing w:line="276" w:lineRule="auto"/>
        <w:jc w:val="both"/>
        <w:rPr>
          <w:rFonts w:ascii="Arial" w:hAnsi="Arial" w:cs="Arial"/>
          <w:sz w:val="21"/>
          <w:szCs w:val="21"/>
        </w:rPr>
      </w:pPr>
    </w:p>
    <w:p w:rsidR="008924D4" w:rsidRDefault="008924D4" w:rsidP="00901141">
      <w:pPr>
        <w:pStyle w:val="Default"/>
        <w:spacing w:line="276" w:lineRule="auto"/>
        <w:jc w:val="both"/>
        <w:rPr>
          <w:rFonts w:ascii="Arial" w:hAnsi="Arial" w:cs="Arial"/>
          <w:sz w:val="21"/>
          <w:szCs w:val="21"/>
        </w:rPr>
      </w:pPr>
    </w:p>
    <w:p w:rsidR="00F529D4" w:rsidRDefault="008924D4" w:rsidP="00901141">
      <w:pPr>
        <w:pStyle w:val="Default"/>
        <w:spacing w:line="276" w:lineRule="auto"/>
        <w:jc w:val="both"/>
        <w:rPr>
          <w:rFonts w:ascii="Arial" w:hAnsi="Arial" w:cs="Arial"/>
          <w:sz w:val="21"/>
          <w:szCs w:val="21"/>
        </w:rPr>
      </w:pPr>
      <w:r w:rsidRPr="00A97400">
        <w:rPr>
          <w:rFonts w:ascii="Arial" w:hAnsi="Arial" w:cs="Arial"/>
          <w:b/>
          <w:sz w:val="21"/>
          <w:szCs w:val="21"/>
        </w:rPr>
        <w:t>2.-</w:t>
      </w:r>
      <w:r>
        <w:rPr>
          <w:rFonts w:ascii="Arial" w:hAnsi="Arial" w:cs="Arial"/>
          <w:sz w:val="21"/>
          <w:szCs w:val="21"/>
        </w:rPr>
        <w:t xml:space="preserve"> Vist</w:t>
      </w:r>
      <w:r w:rsidR="00A97400">
        <w:rPr>
          <w:rFonts w:ascii="Arial" w:hAnsi="Arial" w:cs="Arial"/>
          <w:sz w:val="21"/>
          <w:szCs w:val="21"/>
        </w:rPr>
        <w:t>es</w:t>
      </w:r>
      <w:r>
        <w:rPr>
          <w:rFonts w:ascii="Arial" w:hAnsi="Arial" w:cs="Arial"/>
          <w:sz w:val="21"/>
          <w:szCs w:val="21"/>
        </w:rPr>
        <w:t xml:space="preserve"> </w:t>
      </w:r>
      <w:r w:rsidR="00F529D4">
        <w:rPr>
          <w:rFonts w:ascii="Arial" w:hAnsi="Arial" w:cs="Arial"/>
          <w:sz w:val="21"/>
          <w:szCs w:val="21"/>
        </w:rPr>
        <w:t>l</w:t>
      </w:r>
      <w:r w:rsidR="00A97400">
        <w:rPr>
          <w:rFonts w:ascii="Arial" w:hAnsi="Arial" w:cs="Arial"/>
          <w:sz w:val="21"/>
          <w:szCs w:val="21"/>
        </w:rPr>
        <w:t>es</w:t>
      </w:r>
      <w:r w:rsidR="00F529D4">
        <w:rPr>
          <w:rFonts w:ascii="Arial" w:hAnsi="Arial" w:cs="Arial"/>
          <w:sz w:val="21"/>
          <w:szCs w:val="21"/>
        </w:rPr>
        <w:t xml:space="preserve"> </w:t>
      </w:r>
      <w:r w:rsidR="00A97400">
        <w:rPr>
          <w:rFonts w:ascii="Arial" w:hAnsi="Arial" w:cs="Arial"/>
          <w:sz w:val="21"/>
          <w:szCs w:val="21"/>
        </w:rPr>
        <w:t>conclusions</w:t>
      </w:r>
      <w:r w:rsidR="00F529D4">
        <w:rPr>
          <w:rFonts w:ascii="Arial" w:hAnsi="Arial" w:cs="Arial"/>
          <w:sz w:val="21"/>
          <w:szCs w:val="21"/>
        </w:rPr>
        <w:t xml:space="preserve"> de l’</w:t>
      </w:r>
      <w:r w:rsidR="002D32B1">
        <w:rPr>
          <w:rFonts w:ascii="Arial" w:hAnsi="Arial" w:cs="Arial"/>
          <w:sz w:val="21"/>
          <w:szCs w:val="21"/>
        </w:rPr>
        <w:t>A</w:t>
      </w:r>
      <w:r w:rsidR="00F529D4">
        <w:rPr>
          <w:rFonts w:ascii="Arial" w:hAnsi="Arial" w:cs="Arial"/>
          <w:sz w:val="21"/>
          <w:szCs w:val="21"/>
        </w:rPr>
        <w:t xml:space="preserve">pdcat cal respondre la consulta formulada </w:t>
      </w:r>
      <w:r w:rsidR="00A97400">
        <w:rPr>
          <w:rFonts w:ascii="Arial" w:hAnsi="Arial" w:cs="Arial"/>
          <w:sz w:val="21"/>
          <w:szCs w:val="21"/>
        </w:rPr>
        <w:t xml:space="preserve">per l’IMI </w:t>
      </w:r>
      <w:r w:rsidR="00F529D4">
        <w:rPr>
          <w:rFonts w:ascii="Arial" w:hAnsi="Arial" w:cs="Arial"/>
          <w:sz w:val="21"/>
          <w:szCs w:val="21"/>
        </w:rPr>
        <w:t>en el sentit que, a l’empara de l’article 16.3 LBRL, no és conforme a Dret cedir les dades a l’ambaixada Danesa.</w:t>
      </w:r>
    </w:p>
    <w:p w:rsidR="00F529D4" w:rsidRDefault="00F529D4" w:rsidP="00901141">
      <w:pPr>
        <w:pStyle w:val="Default"/>
        <w:spacing w:line="276" w:lineRule="auto"/>
        <w:jc w:val="both"/>
        <w:rPr>
          <w:rFonts w:ascii="Arial" w:hAnsi="Arial" w:cs="Arial"/>
          <w:sz w:val="21"/>
          <w:szCs w:val="21"/>
        </w:rPr>
      </w:pPr>
    </w:p>
    <w:p w:rsidR="00F529D4" w:rsidRDefault="00F529D4" w:rsidP="00901141">
      <w:pPr>
        <w:pStyle w:val="Default"/>
        <w:spacing w:line="276" w:lineRule="auto"/>
        <w:jc w:val="both"/>
        <w:rPr>
          <w:rFonts w:ascii="Arial" w:hAnsi="Arial" w:cs="Arial"/>
          <w:sz w:val="21"/>
          <w:szCs w:val="21"/>
        </w:rPr>
      </w:pPr>
      <w:r>
        <w:rPr>
          <w:rFonts w:ascii="Arial" w:hAnsi="Arial" w:cs="Arial"/>
          <w:sz w:val="21"/>
          <w:szCs w:val="21"/>
        </w:rPr>
        <w:t xml:space="preserve">Cert és que l’escrit de l’INE que s’acompanya a la sol·licitud original diu que la cessió </w:t>
      </w:r>
      <w:r w:rsidR="00A97400">
        <w:rPr>
          <w:rFonts w:ascii="Arial" w:hAnsi="Arial" w:cs="Arial"/>
          <w:sz w:val="21"/>
          <w:szCs w:val="21"/>
        </w:rPr>
        <w:t xml:space="preserve">en un cas idèntic </w:t>
      </w:r>
      <w:r>
        <w:rPr>
          <w:rFonts w:ascii="Arial" w:hAnsi="Arial" w:cs="Arial"/>
          <w:sz w:val="21"/>
          <w:szCs w:val="21"/>
        </w:rPr>
        <w:t>és procedent però no ho és menys que l’Agencia Espanyola de Protecció de Da</w:t>
      </w:r>
      <w:r w:rsidR="00A97400">
        <w:rPr>
          <w:rFonts w:ascii="Arial" w:hAnsi="Arial" w:cs="Arial"/>
          <w:sz w:val="21"/>
          <w:szCs w:val="21"/>
        </w:rPr>
        <w:t>des</w:t>
      </w:r>
      <w:r>
        <w:rPr>
          <w:rFonts w:ascii="Arial" w:hAnsi="Arial" w:cs="Arial"/>
          <w:sz w:val="21"/>
          <w:szCs w:val="21"/>
        </w:rPr>
        <w:t xml:space="preserve">, a la qual es remet en el seu escrit, </w:t>
      </w:r>
      <w:r w:rsidR="00A97400">
        <w:rPr>
          <w:rFonts w:ascii="Arial" w:hAnsi="Arial" w:cs="Arial"/>
          <w:sz w:val="21"/>
          <w:szCs w:val="21"/>
        </w:rPr>
        <w:t>ha resolt la qüestió en diverses ocasions en el mat</w:t>
      </w:r>
      <w:r w:rsidR="002D32B1">
        <w:rPr>
          <w:rFonts w:ascii="Arial" w:hAnsi="Arial" w:cs="Arial"/>
          <w:sz w:val="21"/>
          <w:szCs w:val="21"/>
        </w:rPr>
        <w:t>eix sentit que ho ha fet ara l’A</w:t>
      </w:r>
      <w:r w:rsidR="00A97400">
        <w:rPr>
          <w:rFonts w:ascii="Arial" w:hAnsi="Arial" w:cs="Arial"/>
          <w:sz w:val="21"/>
          <w:szCs w:val="21"/>
        </w:rPr>
        <w:t>pdcat; és a dir, que la LBRL no empara la cessió però això no obsta a que pugui fer-se si així ho habilita altra norma amb rang de llei o algun conveni internacional vigent (per tots Informe 0163/2011 en relació a la comunicació de dades al Consulat britànic de les dades d’un ciutadà britànic inclosos al padró municipal d’una població espanyola).</w:t>
      </w:r>
    </w:p>
    <w:p w:rsidR="00F529D4" w:rsidRDefault="00F529D4" w:rsidP="00901141">
      <w:pPr>
        <w:pStyle w:val="Default"/>
        <w:spacing w:line="276" w:lineRule="auto"/>
        <w:jc w:val="both"/>
        <w:rPr>
          <w:rFonts w:ascii="Arial" w:hAnsi="Arial" w:cs="Arial"/>
          <w:sz w:val="21"/>
          <w:szCs w:val="21"/>
        </w:rPr>
      </w:pPr>
    </w:p>
    <w:p w:rsidR="00795E21" w:rsidRDefault="00A97400" w:rsidP="00901141">
      <w:pPr>
        <w:pStyle w:val="Default"/>
        <w:spacing w:line="276" w:lineRule="auto"/>
        <w:jc w:val="both"/>
        <w:rPr>
          <w:rFonts w:ascii="Arial" w:hAnsi="Arial" w:cs="Arial"/>
          <w:sz w:val="21"/>
          <w:szCs w:val="21"/>
        </w:rPr>
      </w:pPr>
      <w:r>
        <w:rPr>
          <w:rFonts w:ascii="Arial" w:hAnsi="Arial" w:cs="Arial"/>
          <w:sz w:val="21"/>
          <w:szCs w:val="21"/>
        </w:rPr>
        <w:t>La qüestió, doncs, és determinar si existeix aquesta altra norma amb rang de llei o conveni internacional ratificat i vigent que empari aquesta comunicació de dades sense consentiment del ciutadà.</w:t>
      </w:r>
    </w:p>
    <w:p w:rsidR="000863AA" w:rsidRDefault="000863AA" w:rsidP="00901141">
      <w:pPr>
        <w:pStyle w:val="Default"/>
        <w:spacing w:line="276" w:lineRule="auto"/>
        <w:jc w:val="both"/>
        <w:rPr>
          <w:rFonts w:ascii="Arial" w:hAnsi="Arial" w:cs="Arial"/>
          <w:sz w:val="21"/>
          <w:szCs w:val="21"/>
        </w:rPr>
      </w:pPr>
    </w:p>
    <w:p w:rsidR="000863AA" w:rsidRDefault="000863AA" w:rsidP="000863AA">
      <w:pPr>
        <w:pStyle w:val="Default"/>
        <w:spacing w:line="276" w:lineRule="auto"/>
        <w:jc w:val="both"/>
        <w:rPr>
          <w:rFonts w:ascii="Arial" w:hAnsi="Arial" w:cs="Arial"/>
          <w:sz w:val="21"/>
          <w:szCs w:val="21"/>
        </w:rPr>
      </w:pPr>
      <w:r>
        <w:rPr>
          <w:rFonts w:ascii="Arial" w:hAnsi="Arial" w:cs="Arial"/>
          <w:sz w:val="21"/>
          <w:szCs w:val="21"/>
        </w:rPr>
        <w:t xml:space="preserve">Assumint que la petició s’insereix en el marc d’una investigació per possibles fraus en les prestacions aquest empara normatiu podria trobar-se en el Reglament 883/2004 i 987/2009 ambdós del Parlament Europeu i del Consell sobre la coordinació dels sistemes de la seguretat social i normes d’aplicació. </w:t>
      </w:r>
    </w:p>
    <w:p w:rsidR="000863AA" w:rsidRDefault="000863AA" w:rsidP="000863AA">
      <w:pPr>
        <w:pStyle w:val="Default"/>
        <w:spacing w:line="276" w:lineRule="auto"/>
        <w:jc w:val="both"/>
        <w:rPr>
          <w:rFonts w:ascii="Arial" w:hAnsi="Arial" w:cs="Arial"/>
          <w:sz w:val="21"/>
          <w:szCs w:val="21"/>
        </w:rPr>
      </w:pPr>
    </w:p>
    <w:p w:rsidR="00C0443C" w:rsidRPr="000863AA" w:rsidRDefault="000863AA" w:rsidP="000863AA">
      <w:pPr>
        <w:pStyle w:val="Default"/>
        <w:spacing w:line="276" w:lineRule="auto"/>
        <w:jc w:val="both"/>
        <w:rPr>
          <w:rFonts w:ascii="Arial" w:hAnsi="Arial" w:cs="Arial"/>
          <w:b/>
          <w:i/>
          <w:sz w:val="21"/>
          <w:szCs w:val="21"/>
        </w:rPr>
      </w:pPr>
      <w:r>
        <w:rPr>
          <w:rFonts w:ascii="Arial" w:hAnsi="Arial" w:cs="Arial"/>
          <w:sz w:val="21"/>
          <w:szCs w:val="21"/>
        </w:rPr>
        <w:t xml:space="preserve">Concretament, l’article 76 d’aquest últim Reglament preveu, en el marc de la restitució de prestacions atorgades indegudament, recuperació de pagaments i cotitzacions provisionals que </w:t>
      </w:r>
      <w:r w:rsidRPr="000863AA">
        <w:rPr>
          <w:rFonts w:ascii="Arial" w:hAnsi="Arial" w:cs="Arial"/>
          <w:i/>
          <w:sz w:val="21"/>
          <w:szCs w:val="21"/>
        </w:rPr>
        <w:t>“</w:t>
      </w:r>
      <w:r w:rsidR="00C0443C" w:rsidRPr="000863AA">
        <w:rPr>
          <w:rFonts w:ascii="Arial" w:hAnsi="Arial" w:cs="Arial"/>
          <w:i/>
          <w:sz w:val="21"/>
          <w:szCs w:val="21"/>
        </w:rPr>
        <w:t>Solicitudes de información</w:t>
      </w:r>
      <w:r w:rsidRPr="000863AA">
        <w:rPr>
          <w:rFonts w:ascii="Arial" w:hAnsi="Arial" w:cs="Arial"/>
          <w:i/>
          <w:sz w:val="21"/>
          <w:szCs w:val="21"/>
        </w:rPr>
        <w:t xml:space="preserve">. </w:t>
      </w:r>
      <w:r w:rsidR="00C0443C" w:rsidRPr="000863AA">
        <w:rPr>
          <w:rFonts w:ascii="Arial" w:hAnsi="Arial" w:cs="Arial"/>
          <w:i/>
          <w:sz w:val="21"/>
          <w:szCs w:val="21"/>
        </w:rPr>
        <w:t xml:space="preserve">1. </w:t>
      </w:r>
      <w:r w:rsidR="00C0443C" w:rsidRPr="000863AA">
        <w:rPr>
          <w:rFonts w:ascii="Arial" w:hAnsi="Arial" w:cs="Arial"/>
          <w:b/>
          <w:i/>
          <w:sz w:val="21"/>
          <w:szCs w:val="21"/>
        </w:rPr>
        <w:t>A petición de la entidad requirente, la entidad requerida facilitará toda información que pueda resultar útil a la entidad requirente para el cobro de un crédito.</w:t>
      </w:r>
      <w:r>
        <w:rPr>
          <w:rFonts w:ascii="Arial" w:hAnsi="Arial" w:cs="Arial"/>
          <w:i/>
          <w:sz w:val="21"/>
          <w:szCs w:val="21"/>
        </w:rPr>
        <w:t xml:space="preserve"> </w:t>
      </w:r>
      <w:r w:rsidR="00C0443C" w:rsidRPr="000863AA">
        <w:rPr>
          <w:rFonts w:ascii="Arial" w:hAnsi="Arial" w:cs="Arial"/>
          <w:i/>
          <w:sz w:val="21"/>
          <w:szCs w:val="21"/>
        </w:rPr>
        <w:t>Para procurarse esta información, la entidad requerida ejercerá los poderes previstos por las disposiciones legales, reglamentarias o administrativas que se aplican al cobro de créditos similares originados en su propio Estado miembro.</w:t>
      </w:r>
      <w:r>
        <w:rPr>
          <w:rFonts w:ascii="Arial" w:hAnsi="Arial" w:cs="Arial"/>
          <w:i/>
          <w:sz w:val="21"/>
          <w:szCs w:val="21"/>
        </w:rPr>
        <w:t xml:space="preserve"> </w:t>
      </w:r>
      <w:r w:rsidR="00C0443C" w:rsidRPr="000863AA">
        <w:rPr>
          <w:rFonts w:ascii="Arial" w:hAnsi="Arial" w:cs="Arial"/>
          <w:b/>
          <w:i/>
          <w:sz w:val="21"/>
          <w:szCs w:val="21"/>
        </w:rPr>
        <w:t>2. En la solicitud de información se indicarán el nombre, la última dirección conocida y cualquier otra información pertinente para identificar a la persona física o jurídica interesada a la que se refiera la información que se vaya a facilitar, así como la naturaleza y la cuantía del crédito en relación con el cual se hace la solicitud.</w:t>
      </w:r>
    </w:p>
    <w:p w:rsidR="008006B2" w:rsidRDefault="00C0443C" w:rsidP="00901141">
      <w:pPr>
        <w:jc w:val="both"/>
        <w:rPr>
          <w:rFonts w:ascii="Arial" w:hAnsi="Arial" w:cs="Arial"/>
          <w:sz w:val="21"/>
          <w:szCs w:val="21"/>
        </w:rPr>
      </w:pPr>
      <w:r w:rsidRPr="000863AA">
        <w:rPr>
          <w:rFonts w:ascii="Arial" w:hAnsi="Arial" w:cs="Arial"/>
          <w:i/>
          <w:sz w:val="21"/>
          <w:szCs w:val="21"/>
        </w:rPr>
        <w:t>3. La entidad requerida no estará obligada a facilitar información:</w:t>
      </w:r>
      <w:r w:rsidR="000863AA">
        <w:rPr>
          <w:rFonts w:ascii="Arial" w:hAnsi="Arial" w:cs="Arial"/>
          <w:i/>
          <w:sz w:val="21"/>
          <w:szCs w:val="21"/>
        </w:rPr>
        <w:t xml:space="preserve"> </w:t>
      </w:r>
      <w:r w:rsidRPr="000863AA">
        <w:rPr>
          <w:rFonts w:ascii="Arial" w:hAnsi="Arial" w:cs="Arial"/>
          <w:i/>
          <w:sz w:val="21"/>
          <w:szCs w:val="21"/>
        </w:rPr>
        <w:t>a) que no estuviera en condiciones de obtener para el cobro de créditos similares originados en su propio Estado miembro;</w:t>
      </w:r>
      <w:r w:rsidR="000863AA">
        <w:rPr>
          <w:rFonts w:ascii="Arial" w:hAnsi="Arial" w:cs="Arial"/>
          <w:i/>
          <w:sz w:val="21"/>
          <w:szCs w:val="21"/>
        </w:rPr>
        <w:t xml:space="preserve"> </w:t>
      </w:r>
      <w:r w:rsidRPr="000863AA">
        <w:rPr>
          <w:rFonts w:ascii="Arial" w:hAnsi="Arial" w:cs="Arial"/>
          <w:i/>
          <w:sz w:val="21"/>
          <w:szCs w:val="21"/>
        </w:rPr>
        <w:t>b) que revelara un secreto comercial, industrial o profesional, o</w:t>
      </w:r>
      <w:r w:rsidR="000863AA">
        <w:rPr>
          <w:rFonts w:ascii="Arial" w:hAnsi="Arial" w:cs="Arial"/>
          <w:i/>
          <w:sz w:val="21"/>
          <w:szCs w:val="21"/>
        </w:rPr>
        <w:t xml:space="preserve"> </w:t>
      </w:r>
      <w:r w:rsidRPr="000863AA">
        <w:rPr>
          <w:rFonts w:ascii="Arial" w:hAnsi="Arial" w:cs="Arial"/>
          <w:i/>
          <w:sz w:val="21"/>
          <w:szCs w:val="21"/>
        </w:rPr>
        <w:t xml:space="preserve">c) cuya </w:t>
      </w:r>
      <w:r w:rsidRPr="000863AA">
        <w:rPr>
          <w:rFonts w:ascii="Arial" w:hAnsi="Arial" w:cs="Arial"/>
          <w:i/>
          <w:sz w:val="21"/>
          <w:szCs w:val="21"/>
        </w:rPr>
        <w:lastRenderedPageBreak/>
        <w:t>revelación pudiera perjudicar la seguridad o el orden público de dicho Estado miembro.</w:t>
      </w:r>
      <w:r w:rsidR="000863AA">
        <w:rPr>
          <w:rFonts w:ascii="Arial" w:hAnsi="Arial" w:cs="Arial"/>
          <w:i/>
          <w:sz w:val="21"/>
          <w:szCs w:val="21"/>
        </w:rPr>
        <w:t xml:space="preserve"> </w:t>
      </w:r>
      <w:r w:rsidRPr="000863AA">
        <w:rPr>
          <w:rFonts w:ascii="Arial" w:hAnsi="Arial" w:cs="Arial"/>
          <w:i/>
          <w:sz w:val="21"/>
          <w:szCs w:val="21"/>
        </w:rPr>
        <w:t>4. La entidad requerida informará a la entidad requirente de los motivos que se opongan a que la petición de información sea atendida.</w:t>
      </w:r>
    </w:p>
    <w:p w:rsidR="00003AD6" w:rsidRDefault="00003AD6" w:rsidP="00901141">
      <w:pPr>
        <w:jc w:val="both"/>
        <w:rPr>
          <w:rFonts w:ascii="Arial" w:hAnsi="Arial" w:cs="Arial"/>
          <w:sz w:val="21"/>
          <w:szCs w:val="21"/>
        </w:rPr>
      </w:pPr>
      <w:r>
        <w:rPr>
          <w:rFonts w:ascii="Arial" w:hAnsi="Arial" w:cs="Arial"/>
          <w:sz w:val="21"/>
          <w:szCs w:val="21"/>
        </w:rPr>
        <w:t>De ser aquest el cas, doncs, la comunicació de dades és ajustada a Dret.</w:t>
      </w:r>
    </w:p>
    <w:p w:rsidR="000863AA" w:rsidRDefault="00003AD6" w:rsidP="00901141">
      <w:pPr>
        <w:jc w:val="both"/>
        <w:rPr>
          <w:rFonts w:ascii="Arial" w:hAnsi="Arial" w:cs="Arial"/>
          <w:sz w:val="21"/>
          <w:szCs w:val="21"/>
        </w:rPr>
      </w:pPr>
      <w:r>
        <w:rPr>
          <w:rFonts w:ascii="Arial" w:hAnsi="Arial" w:cs="Arial"/>
          <w:sz w:val="21"/>
          <w:szCs w:val="21"/>
        </w:rPr>
        <w:t>No obstant, c</w:t>
      </w:r>
      <w:r w:rsidR="000863AA">
        <w:rPr>
          <w:rFonts w:ascii="Arial" w:hAnsi="Arial" w:cs="Arial"/>
          <w:sz w:val="21"/>
          <w:szCs w:val="21"/>
        </w:rPr>
        <w:t>as de no tenir clara la finalitat que justifica la comunicació de dades</w:t>
      </w:r>
      <w:r>
        <w:rPr>
          <w:rFonts w:ascii="Arial" w:hAnsi="Arial" w:cs="Arial"/>
          <w:sz w:val="21"/>
          <w:szCs w:val="21"/>
        </w:rPr>
        <w:t>,</w:t>
      </w:r>
      <w:r w:rsidR="000863AA">
        <w:rPr>
          <w:rFonts w:ascii="Arial" w:hAnsi="Arial" w:cs="Arial"/>
          <w:sz w:val="21"/>
          <w:szCs w:val="21"/>
        </w:rPr>
        <w:t xml:space="preserve"> caldria requerir a l’entitat peticionària per tal que la concreti i, a la vista de l’exposat, trobar l’empara legal per a procedir a efectuar la comunicació. Cas de no justificar-se o de no trobar empara en cap norma amb rang de llei i conveni internacional vigent caldria denegar la sol·licitud si no es disposa del consentiment de l’interessat.</w:t>
      </w:r>
    </w:p>
    <w:p w:rsidR="00003AD6" w:rsidRPr="00003AD6" w:rsidRDefault="00003AD6" w:rsidP="00003AD6">
      <w:pPr>
        <w:jc w:val="both"/>
        <w:rPr>
          <w:rFonts w:ascii="Arial" w:hAnsi="Arial" w:cs="Arial"/>
          <w:sz w:val="21"/>
          <w:szCs w:val="21"/>
        </w:rPr>
      </w:pPr>
    </w:p>
    <w:p w:rsidR="00003AD6" w:rsidRPr="00003AD6" w:rsidRDefault="00003AD6" w:rsidP="00003AD6">
      <w:pPr>
        <w:spacing w:after="0"/>
        <w:ind w:right="140"/>
        <w:jc w:val="both"/>
        <w:rPr>
          <w:rFonts w:ascii="Arial" w:eastAsia="Times New Roman" w:hAnsi="Arial" w:cs="Arial"/>
          <w:sz w:val="21"/>
          <w:szCs w:val="21"/>
          <w:lang w:eastAsia="es-ES"/>
        </w:rPr>
      </w:pPr>
      <w:r w:rsidRPr="00003AD6">
        <w:rPr>
          <w:rFonts w:ascii="Arial" w:eastAsia="Times New Roman" w:hAnsi="Arial" w:cs="Arial"/>
          <w:sz w:val="21"/>
          <w:szCs w:val="21"/>
          <w:lang w:eastAsia="es-ES"/>
        </w:rPr>
        <w:t xml:space="preserve">Barcelona, </w:t>
      </w:r>
      <w:r>
        <w:rPr>
          <w:rFonts w:ascii="Arial" w:eastAsia="Times New Roman" w:hAnsi="Arial" w:cs="Arial"/>
          <w:sz w:val="21"/>
          <w:szCs w:val="21"/>
          <w:lang w:eastAsia="es-ES"/>
        </w:rPr>
        <w:t>8 d’abril</w:t>
      </w:r>
      <w:r w:rsidRPr="00003AD6">
        <w:rPr>
          <w:rFonts w:ascii="Arial" w:eastAsia="Times New Roman" w:hAnsi="Arial" w:cs="Arial"/>
          <w:sz w:val="21"/>
          <w:szCs w:val="21"/>
          <w:lang w:eastAsia="es-ES"/>
        </w:rPr>
        <w:t xml:space="preserve"> de 2015.</w:t>
      </w:r>
    </w:p>
    <w:p w:rsidR="00003AD6" w:rsidRPr="00003AD6" w:rsidRDefault="00003AD6" w:rsidP="00003AD6">
      <w:pPr>
        <w:spacing w:after="0"/>
        <w:ind w:right="140"/>
        <w:jc w:val="both"/>
        <w:rPr>
          <w:rFonts w:ascii="Arial" w:eastAsia="Times New Roman" w:hAnsi="Arial" w:cs="Arial"/>
          <w:sz w:val="21"/>
          <w:szCs w:val="21"/>
          <w:lang w:eastAsia="es-ES"/>
        </w:rPr>
      </w:pPr>
    </w:p>
    <w:p w:rsidR="00003AD6" w:rsidRDefault="00003AD6" w:rsidP="00003AD6">
      <w:pPr>
        <w:spacing w:after="0"/>
        <w:ind w:right="140"/>
        <w:jc w:val="both"/>
        <w:rPr>
          <w:rFonts w:ascii="Arial" w:eastAsia="Times New Roman" w:hAnsi="Arial" w:cs="Arial"/>
          <w:sz w:val="21"/>
          <w:szCs w:val="21"/>
          <w:lang w:eastAsia="es-ES"/>
        </w:rPr>
      </w:pPr>
    </w:p>
    <w:p w:rsidR="00003AD6" w:rsidRDefault="00003AD6" w:rsidP="00003AD6">
      <w:pPr>
        <w:spacing w:after="0"/>
        <w:ind w:right="140"/>
        <w:jc w:val="both"/>
        <w:rPr>
          <w:rFonts w:ascii="Arial" w:eastAsia="Times New Roman" w:hAnsi="Arial" w:cs="Arial"/>
          <w:sz w:val="21"/>
          <w:szCs w:val="21"/>
          <w:lang w:eastAsia="es-ES"/>
        </w:rPr>
      </w:pPr>
    </w:p>
    <w:p w:rsidR="00003AD6" w:rsidRPr="00003AD6" w:rsidRDefault="00003AD6" w:rsidP="00003AD6">
      <w:pPr>
        <w:spacing w:after="0"/>
        <w:ind w:right="140"/>
        <w:jc w:val="both"/>
        <w:rPr>
          <w:rFonts w:ascii="Arial" w:eastAsia="Times New Roman" w:hAnsi="Arial" w:cs="Arial"/>
          <w:sz w:val="21"/>
          <w:szCs w:val="21"/>
          <w:lang w:eastAsia="es-ES"/>
        </w:rPr>
      </w:pPr>
    </w:p>
    <w:p w:rsidR="00003AD6" w:rsidRPr="00003AD6" w:rsidRDefault="00003AD6" w:rsidP="00003AD6">
      <w:pPr>
        <w:spacing w:after="0"/>
        <w:ind w:right="140"/>
        <w:jc w:val="both"/>
        <w:rPr>
          <w:rFonts w:ascii="Arial" w:eastAsia="Times New Roman" w:hAnsi="Arial" w:cs="Arial"/>
          <w:sz w:val="21"/>
          <w:szCs w:val="21"/>
          <w:lang w:eastAsia="es-ES"/>
        </w:rPr>
      </w:pPr>
    </w:p>
    <w:p w:rsidR="00003AD6" w:rsidRPr="00003AD6" w:rsidRDefault="00003AD6" w:rsidP="00003AD6">
      <w:pPr>
        <w:spacing w:after="0"/>
        <w:ind w:right="140"/>
        <w:jc w:val="both"/>
        <w:rPr>
          <w:rFonts w:ascii="Arial" w:eastAsia="Times New Roman" w:hAnsi="Arial" w:cs="Arial"/>
          <w:sz w:val="21"/>
          <w:szCs w:val="21"/>
          <w:lang w:eastAsia="es-ES"/>
        </w:rPr>
      </w:pPr>
    </w:p>
    <w:tbl>
      <w:tblPr>
        <w:tblW w:w="0" w:type="auto"/>
        <w:tblLook w:val="04A0" w:firstRow="1" w:lastRow="0" w:firstColumn="1" w:lastColumn="0" w:noHBand="0" w:noVBand="1"/>
      </w:tblPr>
      <w:tblGrid>
        <w:gridCol w:w="4322"/>
        <w:gridCol w:w="4322"/>
      </w:tblGrid>
      <w:tr w:rsidR="00003AD6" w:rsidRPr="00003AD6" w:rsidTr="00E02D99">
        <w:tc>
          <w:tcPr>
            <w:tcW w:w="4322" w:type="dxa"/>
          </w:tcPr>
          <w:p w:rsidR="00003AD6" w:rsidRPr="00003AD6" w:rsidRDefault="00003AD6" w:rsidP="00003AD6">
            <w:pPr>
              <w:spacing w:after="0"/>
              <w:ind w:right="-1"/>
              <w:jc w:val="both"/>
              <w:rPr>
                <w:rFonts w:ascii="Arial" w:eastAsia="Times New Roman" w:hAnsi="Arial" w:cs="Arial"/>
                <w:noProof/>
                <w:color w:val="000000"/>
                <w:sz w:val="21"/>
                <w:szCs w:val="21"/>
                <w:lang w:eastAsia="es-ES"/>
              </w:rPr>
            </w:pPr>
          </w:p>
        </w:tc>
        <w:tc>
          <w:tcPr>
            <w:tcW w:w="4322" w:type="dxa"/>
          </w:tcPr>
          <w:p w:rsidR="00003AD6" w:rsidRPr="00003AD6" w:rsidRDefault="00003AD6" w:rsidP="00003AD6">
            <w:pPr>
              <w:spacing w:after="0"/>
              <w:ind w:right="-1"/>
              <w:jc w:val="right"/>
              <w:rPr>
                <w:rFonts w:ascii="Arial" w:eastAsia="Times New Roman" w:hAnsi="Arial" w:cs="Arial"/>
                <w:noProof/>
                <w:color w:val="000000"/>
                <w:sz w:val="21"/>
                <w:szCs w:val="21"/>
                <w:lang w:eastAsia="es-ES"/>
              </w:rPr>
            </w:pPr>
            <w:r w:rsidRPr="00003AD6">
              <w:rPr>
                <w:rFonts w:ascii="Arial" w:eastAsia="Times New Roman" w:hAnsi="Arial" w:cs="Arial"/>
                <w:noProof/>
                <w:color w:val="000000"/>
                <w:sz w:val="21"/>
                <w:szCs w:val="21"/>
                <w:lang w:eastAsia="es-ES"/>
              </w:rPr>
              <w:t>Vist i plau</w:t>
            </w:r>
          </w:p>
        </w:tc>
      </w:tr>
      <w:tr w:rsidR="00003AD6" w:rsidRPr="00003AD6" w:rsidTr="00E02D99">
        <w:tc>
          <w:tcPr>
            <w:tcW w:w="4322" w:type="dxa"/>
          </w:tcPr>
          <w:p w:rsidR="00003AD6" w:rsidRPr="00003AD6" w:rsidRDefault="00003AD6" w:rsidP="00003AD6">
            <w:pPr>
              <w:spacing w:after="0"/>
              <w:ind w:right="-1"/>
              <w:jc w:val="both"/>
              <w:rPr>
                <w:rFonts w:ascii="Arial" w:eastAsia="Times New Roman" w:hAnsi="Arial" w:cs="Arial"/>
                <w:noProof/>
                <w:color w:val="000000"/>
                <w:sz w:val="21"/>
                <w:szCs w:val="21"/>
                <w:lang w:eastAsia="es-ES"/>
              </w:rPr>
            </w:pPr>
            <w:r w:rsidRPr="00003AD6">
              <w:rPr>
                <w:rFonts w:ascii="Arial" w:eastAsia="Times New Roman" w:hAnsi="Arial" w:cs="Arial"/>
                <w:noProof/>
                <w:color w:val="000000"/>
                <w:sz w:val="21"/>
                <w:szCs w:val="21"/>
                <w:lang w:eastAsia="es-ES"/>
              </w:rPr>
              <w:t>Sandra Abad Garcia</w:t>
            </w:r>
          </w:p>
        </w:tc>
        <w:tc>
          <w:tcPr>
            <w:tcW w:w="4322" w:type="dxa"/>
          </w:tcPr>
          <w:p w:rsidR="00003AD6" w:rsidRPr="00003AD6" w:rsidRDefault="00003AD6" w:rsidP="00003AD6">
            <w:pPr>
              <w:spacing w:after="0"/>
              <w:ind w:right="-1"/>
              <w:jc w:val="right"/>
              <w:rPr>
                <w:rFonts w:ascii="Arial" w:eastAsia="Times New Roman" w:hAnsi="Arial" w:cs="Arial"/>
                <w:noProof/>
                <w:color w:val="000000"/>
                <w:sz w:val="21"/>
                <w:szCs w:val="21"/>
                <w:lang w:eastAsia="es-ES"/>
              </w:rPr>
            </w:pPr>
            <w:r w:rsidRPr="00003AD6">
              <w:rPr>
                <w:rFonts w:ascii="Arial" w:eastAsia="Times New Roman" w:hAnsi="Arial" w:cs="Arial"/>
                <w:noProof/>
                <w:color w:val="000000"/>
                <w:sz w:val="21"/>
                <w:szCs w:val="21"/>
                <w:lang w:eastAsia="es-ES"/>
              </w:rPr>
              <w:t>Manuel Mallo Gómez</w:t>
            </w:r>
          </w:p>
        </w:tc>
      </w:tr>
      <w:tr w:rsidR="00003AD6" w:rsidRPr="00003AD6" w:rsidTr="00E02D99">
        <w:tc>
          <w:tcPr>
            <w:tcW w:w="4322" w:type="dxa"/>
          </w:tcPr>
          <w:p w:rsidR="00003AD6" w:rsidRPr="00003AD6" w:rsidRDefault="00003AD6" w:rsidP="00003AD6">
            <w:pPr>
              <w:spacing w:after="0"/>
              <w:ind w:right="-1"/>
              <w:jc w:val="both"/>
              <w:rPr>
                <w:rFonts w:ascii="Arial" w:eastAsia="Times New Roman" w:hAnsi="Arial" w:cs="Arial"/>
                <w:noProof/>
                <w:color w:val="000000"/>
                <w:sz w:val="21"/>
                <w:szCs w:val="21"/>
                <w:lang w:eastAsia="es-ES"/>
              </w:rPr>
            </w:pPr>
            <w:r w:rsidRPr="00003AD6">
              <w:rPr>
                <w:rFonts w:ascii="Arial" w:eastAsia="Times New Roman" w:hAnsi="Arial" w:cs="Arial"/>
                <w:noProof/>
                <w:color w:val="000000"/>
                <w:sz w:val="21"/>
                <w:szCs w:val="21"/>
                <w:lang w:eastAsia="es-ES"/>
              </w:rPr>
              <w:t>Lletrada Consistorial</w:t>
            </w:r>
          </w:p>
        </w:tc>
        <w:tc>
          <w:tcPr>
            <w:tcW w:w="4322" w:type="dxa"/>
          </w:tcPr>
          <w:p w:rsidR="00003AD6" w:rsidRPr="00003AD6" w:rsidRDefault="00003AD6" w:rsidP="00003AD6">
            <w:pPr>
              <w:spacing w:after="0"/>
              <w:ind w:right="-1"/>
              <w:jc w:val="right"/>
              <w:rPr>
                <w:rFonts w:ascii="Arial" w:eastAsia="Times New Roman" w:hAnsi="Arial" w:cs="Arial"/>
                <w:noProof/>
                <w:color w:val="000000"/>
                <w:sz w:val="21"/>
                <w:szCs w:val="21"/>
                <w:lang w:eastAsia="es-ES"/>
              </w:rPr>
            </w:pPr>
            <w:r w:rsidRPr="00003AD6">
              <w:rPr>
                <w:rFonts w:ascii="Arial" w:eastAsia="Times New Roman" w:hAnsi="Arial" w:cs="Arial"/>
                <w:noProof/>
                <w:color w:val="000000"/>
                <w:sz w:val="21"/>
                <w:szCs w:val="21"/>
                <w:lang w:eastAsia="es-ES"/>
              </w:rPr>
              <w:t>Director de l’Àrea de Règim Jurídic</w:t>
            </w:r>
          </w:p>
        </w:tc>
      </w:tr>
    </w:tbl>
    <w:p w:rsidR="00003AD6" w:rsidRPr="00003AD6" w:rsidRDefault="00003AD6" w:rsidP="00003AD6">
      <w:pPr>
        <w:spacing w:after="0"/>
        <w:ind w:right="140"/>
        <w:jc w:val="both"/>
        <w:rPr>
          <w:rFonts w:ascii="Arial" w:eastAsia="Times New Roman" w:hAnsi="Arial" w:cs="Arial"/>
          <w:sz w:val="21"/>
          <w:szCs w:val="21"/>
          <w:lang w:eastAsia="es-ES"/>
        </w:rPr>
      </w:pPr>
    </w:p>
    <w:p w:rsidR="00003AD6" w:rsidRPr="00003AD6" w:rsidRDefault="00003AD6" w:rsidP="00003AD6">
      <w:pPr>
        <w:jc w:val="both"/>
        <w:rPr>
          <w:rFonts w:ascii="Arial" w:hAnsi="Arial" w:cs="Arial"/>
          <w:sz w:val="21"/>
          <w:szCs w:val="21"/>
        </w:rPr>
      </w:pPr>
    </w:p>
    <w:p w:rsidR="00003AD6" w:rsidRDefault="00003AD6" w:rsidP="00003AD6">
      <w:pPr>
        <w:jc w:val="both"/>
        <w:rPr>
          <w:rFonts w:ascii="Arial" w:hAnsi="Arial" w:cs="Arial"/>
          <w:sz w:val="21"/>
          <w:szCs w:val="21"/>
        </w:rPr>
      </w:pPr>
    </w:p>
    <w:p w:rsidR="000863AA" w:rsidRDefault="000863AA" w:rsidP="00901141">
      <w:pPr>
        <w:jc w:val="both"/>
        <w:rPr>
          <w:rFonts w:ascii="Arial" w:hAnsi="Arial" w:cs="Arial"/>
          <w:sz w:val="21"/>
          <w:szCs w:val="21"/>
        </w:rPr>
      </w:pPr>
    </w:p>
    <w:p w:rsidR="00003AD6" w:rsidRPr="000863AA" w:rsidRDefault="00003AD6" w:rsidP="00901141">
      <w:pPr>
        <w:jc w:val="both"/>
        <w:rPr>
          <w:rFonts w:ascii="Arial" w:hAnsi="Arial" w:cs="Arial"/>
          <w:sz w:val="21"/>
          <w:szCs w:val="21"/>
        </w:rPr>
      </w:pPr>
    </w:p>
    <w:sectPr w:rsidR="00003AD6" w:rsidRPr="000863A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E3" w:rsidRDefault="00A746E3" w:rsidP="00C0443C">
      <w:pPr>
        <w:spacing w:after="0" w:line="240" w:lineRule="auto"/>
      </w:pPr>
      <w:r>
        <w:separator/>
      </w:r>
    </w:p>
  </w:endnote>
  <w:endnote w:type="continuationSeparator" w:id="0">
    <w:p w:rsidR="00A746E3" w:rsidRDefault="00A746E3" w:rsidP="00C0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D6" w:rsidRPr="00003AD6" w:rsidRDefault="00003AD6">
    <w:pPr>
      <w:pStyle w:val="Peu"/>
      <w:jc w:val="right"/>
      <w:rPr>
        <w:rFonts w:ascii="Arial" w:hAnsi="Arial" w:cs="Arial"/>
        <w:sz w:val="16"/>
        <w:szCs w:val="16"/>
      </w:rPr>
    </w:pPr>
    <w:r w:rsidRPr="00003AD6">
      <w:rPr>
        <w:rFonts w:ascii="Arial" w:hAnsi="Arial" w:cs="Arial"/>
        <w:sz w:val="16"/>
        <w:szCs w:val="16"/>
      </w:rPr>
      <w:fldChar w:fldCharType="begin"/>
    </w:r>
    <w:r w:rsidRPr="00003AD6">
      <w:rPr>
        <w:rFonts w:ascii="Arial" w:hAnsi="Arial" w:cs="Arial"/>
        <w:sz w:val="16"/>
        <w:szCs w:val="16"/>
      </w:rPr>
      <w:instrText>PAGE   \* MERGEFORMAT</w:instrText>
    </w:r>
    <w:r w:rsidRPr="00003AD6">
      <w:rPr>
        <w:rFonts w:ascii="Arial" w:hAnsi="Arial" w:cs="Arial"/>
        <w:sz w:val="16"/>
        <w:szCs w:val="16"/>
      </w:rPr>
      <w:fldChar w:fldCharType="separate"/>
    </w:r>
    <w:r w:rsidR="00135AD4">
      <w:rPr>
        <w:rFonts w:ascii="Arial" w:hAnsi="Arial" w:cs="Arial"/>
        <w:noProof/>
        <w:sz w:val="16"/>
        <w:szCs w:val="16"/>
      </w:rPr>
      <w:t>1</w:t>
    </w:r>
    <w:r w:rsidRPr="00003AD6">
      <w:rPr>
        <w:rFonts w:ascii="Arial" w:hAnsi="Arial" w:cs="Arial"/>
        <w:sz w:val="16"/>
        <w:szCs w:val="16"/>
      </w:rPr>
      <w:fldChar w:fldCharType="end"/>
    </w:r>
  </w:p>
  <w:p w:rsidR="00003AD6" w:rsidRDefault="00003AD6">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E3" w:rsidRDefault="00A746E3" w:rsidP="00C0443C">
      <w:pPr>
        <w:spacing w:after="0" w:line="240" w:lineRule="auto"/>
      </w:pPr>
      <w:r>
        <w:separator/>
      </w:r>
    </w:p>
  </w:footnote>
  <w:footnote w:type="continuationSeparator" w:id="0">
    <w:p w:rsidR="00A746E3" w:rsidRDefault="00A746E3" w:rsidP="00C04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3C" w:rsidRPr="00C0443C" w:rsidRDefault="00135AD4" w:rsidP="00C0443C">
    <w:pPr>
      <w:spacing w:after="0" w:line="240" w:lineRule="auto"/>
      <w:rPr>
        <w:rFonts w:ascii="Times New Roman" w:eastAsia="Times New Roman" w:hAnsi="Times New Roman" w:cs="Arial"/>
        <w:b/>
        <w:noProof/>
        <w:sz w:val="15"/>
        <w:szCs w:val="15"/>
        <w:lang w:eastAsia="es-ES"/>
      </w:rPr>
    </w:pPr>
    <w:r>
      <w:rPr>
        <w:rFonts w:ascii="Times New Roman" w:eastAsia="Times New Roman" w:hAnsi="Times New Roman" w:cs="Arial"/>
        <w:b/>
        <w:noProof/>
        <w:sz w:val="15"/>
        <w:szCs w:val="15"/>
        <w:lang w:eastAsia="ca-ES"/>
      </w:rPr>
      <w:drawing>
        <wp:anchor distT="0" distB="0" distL="114300" distR="114300" simplePos="0" relativeHeight="251657728" behindDoc="0" locked="0" layoutInCell="1" allowOverlap="1">
          <wp:simplePos x="0" y="0"/>
          <wp:positionH relativeFrom="page">
            <wp:posOffset>674370</wp:posOffset>
          </wp:positionH>
          <wp:positionV relativeFrom="page">
            <wp:posOffset>432435</wp:posOffset>
          </wp:positionV>
          <wp:extent cx="1266825" cy="348615"/>
          <wp:effectExtent l="0" t="0" r="9525" b="0"/>
          <wp:wrapTight wrapText="bothSides">
            <wp:wrapPolygon edited="0">
              <wp:start x="0" y="0"/>
              <wp:lineTo x="0" y="20066"/>
              <wp:lineTo x="21438" y="20066"/>
              <wp:lineTo x="21438" y="0"/>
              <wp:lineTo x="0" y="0"/>
            </wp:wrapPolygon>
          </wp:wrapTight>
          <wp:docPr id="4"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670" w:rsidRDefault="00603670" w:rsidP="00603670">
    <w:pPr>
      <w:spacing w:after="0" w:line="240" w:lineRule="auto"/>
      <w:rPr>
        <w:rFonts w:ascii="Arial" w:eastAsia="Times New Roman" w:hAnsi="Arial" w:cs="Arial"/>
        <w:b/>
        <w:noProof/>
        <w:sz w:val="15"/>
        <w:szCs w:val="15"/>
        <w:lang w:eastAsia="es-ES"/>
      </w:rPr>
    </w:pPr>
  </w:p>
  <w:p w:rsidR="00603670" w:rsidRDefault="00603670" w:rsidP="00603670">
    <w:pPr>
      <w:spacing w:after="0" w:line="240" w:lineRule="auto"/>
      <w:rPr>
        <w:rFonts w:ascii="Arial" w:eastAsia="Times New Roman" w:hAnsi="Arial" w:cs="Arial"/>
        <w:b/>
        <w:noProof/>
        <w:sz w:val="15"/>
        <w:szCs w:val="15"/>
        <w:lang w:eastAsia="es-ES"/>
      </w:rPr>
    </w:pPr>
  </w:p>
  <w:p w:rsidR="00603670" w:rsidRDefault="00603670" w:rsidP="00603670">
    <w:pPr>
      <w:spacing w:after="0" w:line="240" w:lineRule="auto"/>
      <w:rPr>
        <w:rFonts w:ascii="Arial" w:eastAsia="Times New Roman" w:hAnsi="Arial" w:cs="Arial"/>
        <w:b/>
        <w:noProof/>
        <w:sz w:val="15"/>
        <w:szCs w:val="15"/>
        <w:lang w:eastAsia="es-ES"/>
      </w:rPr>
    </w:pPr>
  </w:p>
  <w:p w:rsidR="00C0443C" w:rsidRPr="00795E21" w:rsidRDefault="00C0443C" w:rsidP="00603670">
    <w:pPr>
      <w:spacing w:after="0" w:line="240" w:lineRule="auto"/>
      <w:rPr>
        <w:rFonts w:ascii="Times New Roman" w:eastAsia="Times New Roman" w:hAnsi="Times New Roman" w:cs="Arial"/>
        <w:b/>
        <w:noProof/>
        <w:sz w:val="15"/>
        <w:szCs w:val="15"/>
        <w:lang w:eastAsia="es-ES"/>
      </w:rPr>
    </w:pPr>
    <w:r w:rsidRPr="00795E21">
      <w:rPr>
        <w:rFonts w:ascii="Times New Roman" w:eastAsia="Times New Roman" w:hAnsi="Times New Roman" w:cs="Arial"/>
        <w:b/>
        <w:noProof/>
        <w:sz w:val="15"/>
        <w:szCs w:val="15"/>
        <w:lang w:eastAsia="es-ES"/>
      </w:rPr>
      <w:t>GERÈNCIA DE RECURSOS</w:t>
    </w:r>
  </w:p>
  <w:p w:rsidR="00C0443C" w:rsidRPr="00795E21" w:rsidRDefault="00C0443C" w:rsidP="00603670">
    <w:pPr>
      <w:spacing w:after="0" w:line="240" w:lineRule="auto"/>
      <w:rPr>
        <w:rFonts w:ascii="Times New Roman" w:eastAsia="Times New Roman" w:hAnsi="Times New Roman" w:cs="Arial"/>
        <w:b/>
        <w:noProof/>
        <w:sz w:val="15"/>
        <w:szCs w:val="15"/>
        <w:lang w:eastAsia="es-ES"/>
      </w:rPr>
    </w:pPr>
    <w:r w:rsidRPr="00795E21">
      <w:rPr>
        <w:rFonts w:ascii="Times New Roman" w:eastAsia="Times New Roman" w:hAnsi="Times New Roman" w:cs="Arial"/>
        <w:b/>
        <w:noProof/>
        <w:sz w:val="15"/>
        <w:szCs w:val="15"/>
        <w:lang w:eastAsia="es-ES"/>
      </w:rPr>
      <w:t>Direcció  dels  Serveis  Jurídics</w:t>
    </w:r>
  </w:p>
  <w:p w:rsidR="00C0443C" w:rsidRPr="00795E21" w:rsidRDefault="00C0443C" w:rsidP="00603670">
    <w:pPr>
      <w:spacing w:after="0" w:line="240" w:lineRule="auto"/>
      <w:rPr>
        <w:rFonts w:ascii="Times New Roman" w:eastAsia="Times New Roman" w:hAnsi="Times New Roman" w:cs="Arial"/>
        <w:b/>
        <w:noProof/>
        <w:sz w:val="15"/>
        <w:szCs w:val="15"/>
        <w:lang w:eastAsia="es-ES"/>
      </w:rPr>
    </w:pPr>
    <w:r w:rsidRPr="00795E21">
      <w:rPr>
        <w:rFonts w:ascii="Times New Roman" w:eastAsia="Times New Roman" w:hAnsi="Times New Roman" w:cs="Arial"/>
        <w:b/>
        <w:noProof/>
        <w:sz w:val="15"/>
        <w:szCs w:val="15"/>
        <w:lang w:eastAsia="es-ES"/>
      </w:rPr>
      <w:t>Direcció de l’Àrea de Règim Jurídic</w:t>
    </w:r>
  </w:p>
  <w:p w:rsidR="00901141" w:rsidRPr="00795E21" w:rsidRDefault="00901141" w:rsidP="00603670">
    <w:pPr>
      <w:spacing w:after="0" w:line="240" w:lineRule="auto"/>
      <w:rPr>
        <w:rFonts w:ascii="Times New Roman" w:eastAsia="Times New Roman" w:hAnsi="Times New Roman" w:cs="Arial"/>
        <w:b/>
        <w:noProof/>
        <w:sz w:val="15"/>
        <w:szCs w:val="15"/>
        <w:lang w:eastAsia="es-ES"/>
      </w:rPr>
    </w:pPr>
  </w:p>
  <w:p w:rsidR="00C0443C" w:rsidRPr="00795E21" w:rsidRDefault="00C0443C" w:rsidP="00603670">
    <w:pPr>
      <w:spacing w:after="0" w:line="240" w:lineRule="auto"/>
      <w:rPr>
        <w:rFonts w:ascii="Times New Roman" w:eastAsia="Times New Roman" w:hAnsi="Times New Roman" w:cs="Arial"/>
        <w:noProof/>
        <w:sz w:val="14"/>
        <w:szCs w:val="14"/>
        <w:lang w:eastAsia="es-ES"/>
      </w:rPr>
    </w:pPr>
    <w:r w:rsidRPr="00795E21">
      <w:rPr>
        <w:rFonts w:ascii="Times New Roman" w:eastAsia="Times New Roman" w:hAnsi="Times New Roman" w:cs="Arial"/>
        <w:noProof/>
        <w:sz w:val="14"/>
        <w:szCs w:val="14"/>
        <w:lang w:eastAsia="es-ES"/>
      </w:rPr>
      <w:t>Pl. Carles Pi i Sunyer, 8-10,  1a planta</w:t>
    </w:r>
  </w:p>
  <w:p w:rsidR="00C0443C" w:rsidRPr="00795E21" w:rsidRDefault="00C0443C" w:rsidP="00603670">
    <w:pPr>
      <w:spacing w:after="0" w:line="240" w:lineRule="auto"/>
      <w:rPr>
        <w:rFonts w:ascii="Times New Roman" w:eastAsia="Times New Roman" w:hAnsi="Times New Roman" w:cs="Arial"/>
        <w:noProof/>
        <w:sz w:val="14"/>
        <w:szCs w:val="14"/>
        <w:lang w:eastAsia="es-ES"/>
      </w:rPr>
    </w:pPr>
    <w:r w:rsidRPr="00795E21">
      <w:rPr>
        <w:rFonts w:ascii="Times New Roman" w:eastAsia="Times New Roman" w:hAnsi="Times New Roman" w:cs="Arial"/>
        <w:noProof/>
        <w:sz w:val="14"/>
        <w:szCs w:val="14"/>
        <w:lang w:eastAsia="es-ES"/>
      </w:rPr>
      <w:t>08002 Barcelona</w:t>
    </w:r>
  </w:p>
  <w:p w:rsidR="00C0443C" w:rsidRPr="00795E21" w:rsidRDefault="00C0443C" w:rsidP="00603670">
    <w:pPr>
      <w:spacing w:after="0" w:line="240" w:lineRule="auto"/>
      <w:rPr>
        <w:rFonts w:ascii="Times New Roman" w:eastAsia="Times New Roman" w:hAnsi="Times New Roman" w:cs="Arial"/>
        <w:noProof/>
        <w:sz w:val="14"/>
        <w:szCs w:val="14"/>
        <w:lang w:eastAsia="es-ES"/>
      </w:rPr>
    </w:pPr>
    <w:r w:rsidRPr="00795E21">
      <w:rPr>
        <w:rFonts w:ascii="Times New Roman" w:eastAsia="Times New Roman" w:hAnsi="Times New Roman" w:cs="Arial"/>
        <w:noProof/>
        <w:sz w:val="14"/>
        <w:szCs w:val="14"/>
        <w:lang w:eastAsia="es-ES"/>
      </w:rPr>
      <w:t>Tel. 93 402 33 92</w:t>
    </w:r>
  </w:p>
  <w:p w:rsidR="00C0443C" w:rsidRPr="00795E21" w:rsidRDefault="00C0443C" w:rsidP="00603670">
    <w:pPr>
      <w:spacing w:after="0" w:line="240" w:lineRule="auto"/>
      <w:rPr>
        <w:rFonts w:ascii="Times New Roman" w:eastAsia="Times New Roman" w:hAnsi="Times New Roman" w:cs="Arial"/>
        <w:noProof/>
        <w:sz w:val="14"/>
        <w:szCs w:val="14"/>
        <w:lang w:eastAsia="es-ES"/>
      </w:rPr>
    </w:pPr>
    <w:r w:rsidRPr="00795E21">
      <w:rPr>
        <w:rFonts w:ascii="Times New Roman" w:eastAsia="Times New Roman" w:hAnsi="Times New Roman" w:cs="Arial"/>
        <w:noProof/>
        <w:sz w:val="14"/>
        <w:szCs w:val="14"/>
        <w:lang w:eastAsia="es-ES"/>
      </w:rPr>
      <w:t>Fax 93 402 34 67</w:t>
    </w:r>
  </w:p>
  <w:p w:rsidR="00C0443C" w:rsidRDefault="00C0443C">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3C"/>
    <w:rsid w:val="00003AD6"/>
    <w:rsid w:val="000863AA"/>
    <w:rsid w:val="00135AD4"/>
    <w:rsid w:val="001922BF"/>
    <w:rsid w:val="00253F76"/>
    <w:rsid w:val="002D32B1"/>
    <w:rsid w:val="002E3548"/>
    <w:rsid w:val="003113A7"/>
    <w:rsid w:val="00346487"/>
    <w:rsid w:val="003A7B10"/>
    <w:rsid w:val="004159C5"/>
    <w:rsid w:val="00603670"/>
    <w:rsid w:val="00652D35"/>
    <w:rsid w:val="00724D09"/>
    <w:rsid w:val="00795E21"/>
    <w:rsid w:val="008006B2"/>
    <w:rsid w:val="008924D4"/>
    <w:rsid w:val="00901141"/>
    <w:rsid w:val="00A746E3"/>
    <w:rsid w:val="00A97400"/>
    <w:rsid w:val="00B244F7"/>
    <w:rsid w:val="00C0443C"/>
    <w:rsid w:val="00C36122"/>
    <w:rsid w:val="00CD6D51"/>
    <w:rsid w:val="00E02D99"/>
    <w:rsid w:val="00F529D4"/>
    <w:rsid w:val="00F63F1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C0443C"/>
    <w:pPr>
      <w:autoSpaceDE w:val="0"/>
      <w:autoSpaceDN w:val="0"/>
      <w:adjustRightInd w:val="0"/>
    </w:pPr>
    <w:rPr>
      <w:rFonts w:ascii="Times New Roman" w:hAnsi="Times New Roman"/>
      <w:color w:val="000000"/>
      <w:sz w:val="24"/>
      <w:szCs w:val="24"/>
      <w:lang w:eastAsia="en-US"/>
    </w:rPr>
  </w:style>
  <w:style w:type="paragraph" w:customStyle="1" w:styleId="CM4">
    <w:name w:val="CM4"/>
    <w:basedOn w:val="Default"/>
    <w:next w:val="Default"/>
    <w:uiPriority w:val="99"/>
    <w:rsid w:val="00C0443C"/>
    <w:rPr>
      <w:color w:val="auto"/>
    </w:rPr>
  </w:style>
  <w:style w:type="paragraph" w:styleId="Capalera">
    <w:name w:val="header"/>
    <w:basedOn w:val="Normal"/>
    <w:link w:val="CapaleraCar"/>
    <w:uiPriority w:val="99"/>
    <w:unhideWhenUsed/>
    <w:rsid w:val="00C0443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0443C"/>
  </w:style>
  <w:style w:type="paragraph" w:styleId="Peu">
    <w:name w:val="footer"/>
    <w:basedOn w:val="Normal"/>
    <w:link w:val="PeuCar"/>
    <w:uiPriority w:val="99"/>
    <w:unhideWhenUsed/>
    <w:rsid w:val="00C0443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0443C"/>
  </w:style>
  <w:style w:type="paragraph" w:styleId="Textdeglobus">
    <w:name w:val="Balloon Text"/>
    <w:basedOn w:val="Normal"/>
    <w:link w:val="TextdeglobusCar"/>
    <w:uiPriority w:val="99"/>
    <w:semiHidden/>
    <w:unhideWhenUsed/>
    <w:rsid w:val="00C0443C"/>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C04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C0443C"/>
    <w:pPr>
      <w:autoSpaceDE w:val="0"/>
      <w:autoSpaceDN w:val="0"/>
      <w:adjustRightInd w:val="0"/>
    </w:pPr>
    <w:rPr>
      <w:rFonts w:ascii="Times New Roman" w:hAnsi="Times New Roman"/>
      <w:color w:val="000000"/>
      <w:sz w:val="24"/>
      <w:szCs w:val="24"/>
      <w:lang w:eastAsia="en-US"/>
    </w:rPr>
  </w:style>
  <w:style w:type="paragraph" w:customStyle="1" w:styleId="CM4">
    <w:name w:val="CM4"/>
    <w:basedOn w:val="Default"/>
    <w:next w:val="Default"/>
    <w:uiPriority w:val="99"/>
    <w:rsid w:val="00C0443C"/>
    <w:rPr>
      <w:color w:val="auto"/>
    </w:rPr>
  </w:style>
  <w:style w:type="paragraph" w:styleId="Capalera">
    <w:name w:val="header"/>
    <w:basedOn w:val="Normal"/>
    <w:link w:val="CapaleraCar"/>
    <w:uiPriority w:val="99"/>
    <w:unhideWhenUsed/>
    <w:rsid w:val="00C0443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0443C"/>
  </w:style>
  <w:style w:type="paragraph" w:styleId="Peu">
    <w:name w:val="footer"/>
    <w:basedOn w:val="Normal"/>
    <w:link w:val="PeuCar"/>
    <w:uiPriority w:val="99"/>
    <w:unhideWhenUsed/>
    <w:rsid w:val="00C0443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0443C"/>
  </w:style>
  <w:style w:type="paragraph" w:styleId="Textdeglobus">
    <w:name w:val="Balloon Text"/>
    <w:basedOn w:val="Normal"/>
    <w:link w:val="TextdeglobusCar"/>
    <w:uiPriority w:val="99"/>
    <w:semiHidden/>
    <w:unhideWhenUsed/>
    <w:rsid w:val="00C0443C"/>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C04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2D5F-55BC-48F6-AD62-CA99D4D7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5418</Characters>
  <Application>Microsoft Office Word</Application>
  <DocSecurity>0</DocSecurity>
  <Lines>45</Lines>
  <Paragraphs>12</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en relació a la consulta plantejada per l’Institut Municipal d’Informàtica respecte de la legalitat de comunicar dades d’un ciutadà a la Direcció General de Pensions Danesa</dc:title>
  <dc:creator>Ajuntament de Barcelona</dc:creator>
  <cp:lastModifiedBy>Ajuntament de Barcelona</cp:lastModifiedBy>
  <cp:revision>2</cp:revision>
  <cp:lastPrinted>2015-04-10T08:21:00Z</cp:lastPrinted>
  <dcterms:created xsi:type="dcterms:W3CDTF">2015-12-24T13:21:00Z</dcterms:created>
  <dcterms:modified xsi:type="dcterms:W3CDTF">2015-12-24T13:21:00Z</dcterms:modified>
</cp:coreProperties>
</file>