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89" w:rsidRPr="00BA3DD2" w:rsidRDefault="00565261" w:rsidP="0008225D">
      <w:pPr>
        <w:jc w:val="both"/>
        <w:rPr>
          <w:rFonts w:ascii="Arial" w:hAnsi="Arial" w:cs="Arial"/>
        </w:rPr>
      </w:pPr>
    </w:p>
    <w:p w:rsidR="0008225D" w:rsidRDefault="0008225D" w:rsidP="0008225D">
      <w:pPr>
        <w:jc w:val="both"/>
        <w:rPr>
          <w:rFonts w:ascii="Arial" w:hAnsi="Arial" w:cs="Arial"/>
        </w:rPr>
      </w:pPr>
      <w:r w:rsidRPr="00BA3DD2">
        <w:rPr>
          <w:rFonts w:ascii="Arial" w:hAnsi="Arial" w:cs="Arial"/>
        </w:rPr>
        <w:t>En relació a la petició d’informe de Secretaria General respecte de</w:t>
      </w:r>
      <w:r w:rsidR="00C87C88">
        <w:rPr>
          <w:rFonts w:ascii="Arial" w:hAnsi="Arial" w:cs="Arial"/>
        </w:rPr>
        <w:t xml:space="preserve"> </w:t>
      </w:r>
      <w:bookmarkStart w:id="0" w:name="_GoBack"/>
      <w:r w:rsidR="006F3317">
        <w:rPr>
          <w:rFonts w:ascii="Arial" w:hAnsi="Arial" w:cs="Arial"/>
        </w:rPr>
        <w:t>l</w:t>
      </w:r>
      <w:r w:rsidR="00C87C88">
        <w:rPr>
          <w:rFonts w:ascii="Arial" w:hAnsi="Arial" w:cs="Arial"/>
        </w:rPr>
        <w:t>’avant</w:t>
      </w:r>
      <w:r w:rsidR="006F3317">
        <w:rPr>
          <w:rFonts w:ascii="Arial" w:hAnsi="Arial" w:cs="Arial"/>
        </w:rPr>
        <w:t xml:space="preserve">projecte de </w:t>
      </w:r>
      <w:r w:rsidR="00C87C88">
        <w:rPr>
          <w:rFonts w:ascii="Arial" w:hAnsi="Arial" w:cs="Arial"/>
        </w:rPr>
        <w:t>llei pel qual es modifica la Llei 10/2001, de 13 de juliol, d’arxius i documents</w:t>
      </w:r>
      <w:bookmarkEnd w:id="0"/>
      <w:r w:rsidRPr="00BA3DD2">
        <w:rPr>
          <w:rFonts w:ascii="Arial" w:hAnsi="Arial" w:cs="Arial"/>
        </w:rPr>
        <w:t xml:space="preserve">, la Lletrada que </w:t>
      </w:r>
      <w:proofErr w:type="spellStart"/>
      <w:r w:rsidRPr="00BA3DD2">
        <w:rPr>
          <w:rFonts w:ascii="Arial" w:hAnsi="Arial" w:cs="Arial"/>
        </w:rPr>
        <w:t>sotasigna</w:t>
      </w:r>
      <w:proofErr w:type="spellEnd"/>
      <w:r w:rsidRPr="00BA3DD2">
        <w:rPr>
          <w:rFonts w:ascii="Arial" w:hAnsi="Arial" w:cs="Arial"/>
        </w:rPr>
        <w:t>, de conformitat amb les normes de la Direcció, emet el següent</w:t>
      </w:r>
    </w:p>
    <w:p w:rsidR="00164D1B" w:rsidRDefault="00164D1B" w:rsidP="0008225D">
      <w:pPr>
        <w:jc w:val="both"/>
        <w:rPr>
          <w:rFonts w:ascii="Arial" w:hAnsi="Arial" w:cs="Arial"/>
        </w:rPr>
      </w:pPr>
    </w:p>
    <w:p w:rsidR="006A02AC" w:rsidRDefault="006A02AC" w:rsidP="006A02AC">
      <w:pPr>
        <w:jc w:val="center"/>
        <w:rPr>
          <w:rFonts w:ascii="Arial" w:hAnsi="Arial" w:cs="Arial"/>
          <w:b/>
          <w:u w:val="single"/>
        </w:rPr>
      </w:pPr>
      <w:r w:rsidRPr="00BA3DD2">
        <w:rPr>
          <w:rFonts w:ascii="Arial" w:hAnsi="Arial" w:cs="Arial"/>
          <w:b/>
          <w:u w:val="single"/>
        </w:rPr>
        <w:t>INFORME</w:t>
      </w:r>
    </w:p>
    <w:p w:rsidR="00164D1B" w:rsidRDefault="00164D1B" w:rsidP="006A02AC">
      <w:pPr>
        <w:jc w:val="center"/>
        <w:rPr>
          <w:rFonts w:ascii="Arial" w:hAnsi="Arial" w:cs="Arial"/>
          <w:b/>
          <w:u w:val="single"/>
        </w:rPr>
      </w:pPr>
    </w:p>
    <w:p w:rsidR="006F3317" w:rsidRDefault="006F3317" w:rsidP="006F3317">
      <w:pPr>
        <w:jc w:val="both"/>
        <w:rPr>
          <w:rFonts w:ascii="Arial" w:hAnsi="Arial" w:cs="Arial"/>
        </w:rPr>
      </w:pPr>
      <w:r w:rsidRPr="006F3317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Aquest informe té per objecte l’anàlisi </w:t>
      </w:r>
      <w:r w:rsidR="00C87C88" w:rsidRPr="00C87C88">
        <w:rPr>
          <w:rFonts w:ascii="Arial" w:hAnsi="Arial" w:cs="Arial"/>
        </w:rPr>
        <w:t>e l’avantprojecte de llei pel qual es modifica la Llei 10/2001, de 13 de juliol, d’arxius i documents</w:t>
      </w:r>
      <w:r w:rsidR="00C87C8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n la versió tramesa per la Secretaria General el dia </w:t>
      </w:r>
      <w:r w:rsidR="00C87C88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de </w:t>
      </w:r>
      <w:r w:rsidR="00C87C88">
        <w:rPr>
          <w:rFonts w:ascii="Arial" w:hAnsi="Arial" w:cs="Arial"/>
        </w:rPr>
        <w:t>juny</w:t>
      </w:r>
      <w:r>
        <w:rPr>
          <w:rFonts w:ascii="Arial" w:hAnsi="Arial" w:cs="Arial"/>
        </w:rPr>
        <w:t xml:space="preserve"> de 2015.</w:t>
      </w:r>
    </w:p>
    <w:p w:rsidR="006F3317" w:rsidRDefault="00B92090" w:rsidP="006F3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3317">
        <w:rPr>
          <w:rFonts w:ascii="Arial" w:hAnsi="Arial" w:cs="Arial"/>
        </w:rPr>
        <w:t>’emet a fi que</w:t>
      </w:r>
      <w:r>
        <w:rPr>
          <w:rFonts w:ascii="Arial" w:hAnsi="Arial" w:cs="Arial"/>
        </w:rPr>
        <w:t xml:space="preserve"> per part de l’Ajuntament es </w:t>
      </w:r>
      <w:r w:rsidR="006F3317">
        <w:rPr>
          <w:rFonts w:ascii="Arial" w:hAnsi="Arial" w:cs="Arial"/>
        </w:rPr>
        <w:t xml:space="preserve">puguin acordar el formular les al·legacions oportunes </w:t>
      </w:r>
      <w:r>
        <w:rPr>
          <w:rFonts w:ascii="Arial" w:hAnsi="Arial" w:cs="Arial"/>
        </w:rPr>
        <w:t>en relació a</w:t>
      </w:r>
      <w:r w:rsidR="00C87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87C88">
        <w:rPr>
          <w:rFonts w:ascii="Arial" w:hAnsi="Arial" w:cs="Arial"/>
        </w:rPr>
        <w:t>’avantp</w:t>
      </w:r>
      <w:r>
        <w:rPr>
          <w:rFonts w:ascii="Arial" w:hAnsi="Arial" w:cs="Arial"/>
        </w:rPr>
        <w:t xml:space="preserve">rojecte que s’analitza tot tenint present, a més, el dret de l’Ajuntament de Barcelona de participar en la producció normativa de la Generalitat de Catalunya </w:t>
      </w:r>
      <w:r w:rsidR="006F3317">
        <w:rPr>
          <w:rFonts w:ascii="Arial" w:hAnsi="Arial" w:cs="Arial"/>
        </w:rPr>
        <w:t>en virtut del que es disposa a l’article 89 de l’Estatut d’Autonomia de Catalunya i en compliment de l’Acord de 7 de juny de 2013 sobre la participació de l’Ajuntament de Barcelona en les iniciatives normatives de la Generalitat que incideixin en el règim especial de Barcelona.</w:t>
      </w:r>
    </w:p>
    <w:p w:rsidR="00164D1B" w:rsidRDefault="00EB1673" w:rsidP="006F3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Finalment, és complementari de l’informe emès</w:t>
      </w:r>
      <w:r w:rsidR="00B92090">
        <w:rPr>
          <w:rFonts w:ascii="Arial" w:hAnsi="Arial" w:cs="Arial"/>
        </w:rPr>
        <w:t xml:space="preserve"> per la Direcció de</w:t>
      </w:r>
      <w:r w:rsidR="00C87C88">
        <w:rPr>
          <w:rFonts w:ascii="Arial" w:hAnsi="Arial" w:cs="Arial"/>
        </w:rPr>
        <w:t>l Sistema Municipal d’Arxius</w:t>
      </w:r>
      <w:r w:rsidR="00B92090">
        <w:rPr>
          <w:rFonts w:ascii="Arial" w:hAnsi="Arial" w:cs="Arial"/>
        </w:rPr>
        <w:t>, el qual es dona per íntegrament reproduït a fi d’evitar innecessàries reiteracions</w:t>
      </w:r>
      <w:r w:rsidR="005B3FF8">
        <w:rPr>
          <w:rFonts w:ascii="Arial" w:hAnsi="Arial" w:cs="Arial"/>
        </w:rPr>
        <w:t xml:space="preserve">. </w:t>
      </w:r>
    </w:p>
    <w:p w:rsidR="000F430D" w:rsidRDefault="009F3EEF" w:rsidP="0021517D">
      <w:pPr>
        <w:jc w:val="both"/>
        <w:rPr>
          <w:rFonts w:ascii="Arial" w:eastAsia="Times New Roman" w:hAnsi="Arial" w:cs="Arial"/>
          <w:lang w:eastAsia="es-ES"/>
        </w:rPr>
      </w:pPr>
      <w:r w:rsidRPr="002A44CA">
        <w:rPr>
          <w:rFonts w:ascii="Arial" w:hAnsi="Arial" w:cs="Arial"/>
          <w:b/>
        </w:rPr>
        <w:t xml:space="preserve">2.- </w:t>
      </w:r>
      <w:r w:rsidR="000F430D" w:rsidRPr="000F430D">
        <w:rPr>
          <w:rFonts w:ascii="Arial" w:hAnsi="Arial" w:cs="Arial"/>
        </w:rPr>
        <w:t>L’avantp</w:t>
      </w:r>
      <w:r w:rsidR="00906E46">
        <w:rPr>
          <w:rFonts w:ascii="Arial" w:eastAsia="Times New Roman" w:hAnsi="Arial" w:cs="Arial"/>
          <w:lang w:eastAsia="es-ES"/>
        </w:rPr>
        <w:t xml:space="preserve">rojecte de </w:t>
      </w:r>
      <w:r w:rsidR="000F430D">
        <w:rPr>
          <w:rFonts w:ascii="Arial" w:eastAsia="Times New Roman" w:hAnsi="Arial" w:cs="Arial"/>
          <w:lang w:eastAsia="es-ES"/>
        </w:rPr>
        <w:t>llei modifica els articles següents de la Llei 10/2001, de 13 de juliol, d’arxius i documents:</w:t>
      </w:r>
    </w:p>
    <w:p w:rsidR="000F430D" w:rsidRDefault="000F430D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del títol de la Llei per incloure la referència a la gestió de documents.</w:t>
      </w:r>
    </w:p>
    <w:p w:rsidR="000F430D" w:rsidRDefault="000F430D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del Preàmbul per incloure les referències a la nova normativa sobre transparència, tant estatal com autonòmica i eliminar aquelles parts que feien referència al dret d’accés als documents.</w:t>
      </w:r>
    </w:p>
    <w:p w:rsidR="005B3FF8" w:rsidRDefault="005B3FF8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 l’article 2 de la Llei respecte de la part que defineix el Sistema de gestió documental.</w:t>
      </w:r>
    </w:p>
    <w:p w:rsidR="005B3FF8" w:rsidRDefault="005B3FF8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Modificació de l’article 5 de la Llei per incloure la necessitat que les administracions públiques, en el marc de la promoció de l’ús de les tecnologies, es dotin del que s’anomena “sistema d’informació comú i </w:t>
      </w:r>
      <w:proofErr w:type="spellStart"/>
      <w:r>
        <w:rPr>
          <w:rFonts w:ascii="Arial" w:eastAsia="Times New Roman" w:hAnsi="Arial" w:cs="Arial"/>
          <w:lang w:eastAsia="es-ES"/>
        </w:rPr>
        <w:t>interoperable</w:t>
      </w:r>
      <w:proofErr w:type="spellEnd"/>
      <w:r>
        <w:rPr>
          <w:rFonts w:ascii="Arial" w:eastAsia="Times New Roman" w:hAnsi="Arial" w:cs="Arial"/>
          <w:lang w:eastAsia="es-ES"/>
        </w:rPr>
        <w:t>”.</w:t>
      </w:r>
    </w:p>
    <w:p w:rsidR="005B3FF8" w:rsidRDefault="005B3FF8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- Modificació de l’article 7 de la Llei per concretar les garanties que ha d’assolir el sistema de gestió documental del que s’han de dotar totes les administracions públiques.</w:t>
      </w:r>
    </w:p>
    <w:p w:rsidR="005B3FF8" w:rsidRDefault="005B3FF8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 l’article 17 de la Llei, apartats e) i f) per incloure la referència a la gestió documental.</w:t>
      </w:r>
    </w:p>
    <w:p w:rsidR="005B3FF8" w:rsidRDefault="005B3FF8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 l’article 18 de la Llei, apartats a) i b)</w:t>
      </w:r>
      <w:r w:rsidR="00BA33CE">
        <w:rPr>
          <w:rFonts w:ascii="Arial" w:eastAsia="Times New Roman" w:hAnsi="Arial" w:cs="Arial"/>
          <w:lang w:eastAsia="es-ES"/>
        </w:rPr>
        <w:t xml:space="preserve"> </w:t>
      </w:r>
      <w:r w:rsidR="00BA33CE" w:rsidRPr="00BA33CE">
        <w:rPr>
          <w:rFonts w:ascii="Arial" w:eastAsia="Times New Roman" w:hAnsi="Arial" w:cs="Arial"/>
          <w:lang w:eastAsia="es-ES"/>
        </w:rPr>
        <w:t>per incloure la referència a la gestió documental</w:t>
      </w:r>
      <w:r w:rsidR="00BA33CE">
        <w:rPr>
          <w:rFonts w:ascii="Arial" w:eastAsia="Times New Roman" w:hAnsi="Arial" w:cs="Arial"/>
          <w:lang w:eastAsia="es-ES"/>
        </w:rPr>
        <w:t>.</w:t>
      </w:r>
    </w:p>
    <w:p w:rsidR="00BA33CE" w:rsidRDefault="00BA33CE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Modificació de l’article 19 de la Llei de nova regulació de la Comissió Nacional d’Accés, Avaluació i Tria Documental respecte de la seva composició i </w:t>
      </w:r>
      <w:proofErr w:type="spellStart"/>
      <w:r>
        <w:rPr>
          <w:rFonts w:ascii="Arial" w:eastAsia="Times New Roman" w:hAnsi="Arial" w:cs="Arial"/>
          <w:lang w:eastAsia="es-ES"/>
        </w:rPr>
        <w:t>redefinició</w:t>
      </w:r>
      <w:proofErr w:type="spellEnd"/>
      <w:r>
        <w:rPr>
          <w:rFonts w:ascii="Arial" w:eastAsia="Times New Roman" w:hAnsi="Arial" w:cs="Arial"/>
          <w:lang w:eastAsia="es-ES"/>
        </w:rPr>
        <w:t xml:space="preserve"> de les seves funcions, respecte de les que s’eliminen les que feien referència al dret d’accés a la informació pública.</w:t>
      </w:r>
    </w:p>
    <w:p w:rsidR="00BA33CE" w:rsidRDefault="00BA33CE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Modificació de l’article 22, apartat 1, de la Llei </w:t>
      </w:r>
      <w:r w:rsidRPr="00BA33CE">
        <w:rPr>
          <w:rFonts w:ascii="Arial" w:eastAsia="Times New Roman" w:hAnsi="Arial" w:cs="Arial"/>
          <w:lang w:eastAsia="es-ES"/>
        </w:rPr>
        <w:t>per incloure la referència a la gestió documental.</w:t>
      </w:r>
    </w:p>
    <w:p w:rsidR="000F430D" w:rsidRDefault="00BA33CE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- </w:t>
      </w:r>
      <w:r w:rsidR="006C5D70">
        <w:rPr>
          <w:rFonts w:ascii="Arial" w:eastAsia="Times New Roman" w:hAnsi="Arial" w:cs="Arial"/>
          <w:lang w:eastAsia="es-ES"/>
        </w:rPr>
        <w:t>Modificació de l’article 34 de la Llei per regular l’accés als documents públics.</w:t>
      </w:r>
    </w:p>
    <w:p w:rsidR="006C5D70" w:rsidRDefault="006C5D70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Modificació de l’article 35 de la Llei per regular les obligacions de publicitat activa  dels arxius.</w:t>
      </w:r>
    </w:p>
    <w:p w:rsidR="006C5D70" w:rsidRDefault="006C5D70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 Afegitó d’una nova disposició addicional, serà la vuitena, per regular la coordinació entre la Comissió Nacional d’Accés, Avaluació i Tria Documental, la Comissió de Garanties del Dret d’Accés i l’Autoritat Catalana de Protecció de Dades.</w:t>
      </w:r>
    </w:p>
    <w:p w:rsidR="006C5D70" w:rsidRDefault="006C5D70" w:rsidP="0021517D">
      <w:pPr>
        <w:jc w:val="both"/>
        <w:rPr>
          <w:rFonts w:ascii="Arial" w:eastAsia="Times New Roman" w:hAnsi="Arial" w:cs="Arial"/>
          <w:lang w:eastAsia="es-ES"/>
        </w:rPr>
      </w:pPr>
    </w:p>
    <w:p w:rsidR="000F430D" w:rsidRDefault="006C5D70" w:rsidP="0021517D">
      <w:pPr>
        <w:jc w:val="both"/>
        <w:rPr>
          <w:rFonts w:ascii="Arial" w:eastAsia="Times New Roman" w:hAnsi="Arial" w:cs="Arial"/>
          <w:lang w:eastAsia="es-ES"/>
        </w:rPr>
      </w:pPr>
      <w:r w:rsidRPr="006C5D70">
        <w:rPr>
          <w:rFonts w:ascii="Arial" w:eastAsia="Times New Roman" w:hAnsi="Arial" w:cs="Arial"/>
          <w:b/>
          <w:lang w:eastAsia="es-ES"/>
        </w:rPr>
        <w:t>3.-</w:t>
      </w:r>
      <w:r>
        <w:rPr>
          <w:rFonts w:ascii="Arial" w:eastAsia="Times New Roman" w:hAnsi="Arial" w:cs="Arial"/>
          <w:lang w:eastAsia="es-ES"/>
        </w:rPr>
        <w:t xml:space="preserve"> </w:t>
      </w:r>
      <w:r w:rsidR="00BA33CE">
        <w:rPr>
          <w:rFonts w:ascii="Arial" w:eastAsia="Times New Roman" w:hAnsi="Arial" w:cs="Arial"/>
          <w:lang w:eastAsia="es-ES"/>
        </w:rPr>
        <w:t xml:space="preserve">De la revisió </w:t>
      </w:r>
      <w:r w:rsidR="00DF2F68">
        <w:rPr>
          <w:rFonts w:ascii="Arial" w:eastAsia="Times New Roman" w:hAnsi="Arial" w:cs="Arial"/>
          <w:lang w:eastAsia="es-ES"/>
        </w:rPr>
        <w:t>d</w:t>
      </w:r>
      <w:r w:rsidR="00BA33CE">
        <w:rPr>
          <w:rFonts w:ascii="Arial" w:eastAsia="Times New Roman" w:hAnsi="Arial" w:cs="Arial"/>
          <w:lang w:eastAsia="es-ES"/>
        </w:rPr>
        <w:t>el text no s’aprecien afectacions a la regulació espe</w:t>
      </w:r>
      <w:r>
        <w:rPr>
          <w:rFonts w:ascii="Arial" w:eastAsia="Times New Roman" w:hAnsi="Arial" w:cs="Arial"/>
          <w:lang w:eastAsia="es-ES"/>
        </w:rPr>
        <w:t>c</w:t>
      </w:r>
      <w:r w:rsidR="00BA33CE">
        <w:rPr>
          <w:rFonts w:ascii="Arial" w:eastAsia="Times New Roman" w:hAnsi="Arial" w:cs="Arial"/>
          <w:lang w:eastAsia="es-ES"/>
        </w:rPr>
        <w:t>í</w:t>
      </w:r>
      <w:r>
        <w:rPr>
          <w:rFonts w:ascii="Arial" w:eastAsia="Times New Roman" w:hAnsi="Arial" w:cs="Arial"/>
          <w:lang w:eastAsia="es-ES"/>
        </w:rPr>
        <w:t>fi</w:t>
      </w:r>
      <w:r w:rsidR="00BA33CE">
        <w:rPr>
          <w:rFonts w:ascii="Arial" w:eastAsia="Times New Roman" w:hAnsi="Arial" w:cs="Arial"/>
          <w:lang w:eastAsia="es-ES"/>
        </w:rPr>
        <w:t>ca de la ciutat de Barcelona ni al seu règim jurídic establert a la Llei 22/1998, de 30 de desembre, de la Carta Municipal de Barcelona</w:t>
      </w:r>
      <w:r>
        <w:rPr>
          <w:rFonts w:ascii="Arial" w:eastAsia="Times New Roman" w:hAnsi="Arial" w:cs="Arial"/>
          <w:lang w:eastAsia="es-ES"/>
        </w:rPr>
        <w:t>.</w:t>
      </w:r>
    </w:p>
    <w:p w:rsidR="006C5D70" w:rsidRDefault="006C5D70" w:rsidP="002151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Nogensmenys, i com a única proposta d’al·legació, seria al nou article 19 de la Llei per preveure que entre els membres de les administracions locals que han de formar part de la </w:t>
      </w:r>
      <w:r w:rsidRPr="006C5D70">
        <w:rPr>
          <w:rFonts w:ascii="Arial" w:eastAsia="Times New Roman" w:hAnsi="Arial" w:cs="Arial"/>
          <w:lang w:eastAsia="es-ES"/>
        </w:rPr>
        <w:t>Comissió Nacional d’Accés, Avaluació i Tria Documental</w:t>
      </w:r>
      <w:r>
        <w:rPr>
          <w:rFonts w:ascii="Arial" w:eastAsia="Times New Roman" w:hAnsi="Arial" w:cs="Arial"/>
          <w:lang w:eastAsia="es-ES"/>
        </w:rPr>
        <w:t xml:space="preserve"> hi ha d’haver, necessàriament, un representant de l’Ajuntament de Barcelona.</w:t>
      </w:r>
    </w:p>
    <w:p w:rsidR="00B71D9B" w:rsidRDefault="006C5D70" w:rsidP="006C5D70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Aquesta al·legació es fonamenta en el volum documental que gestiona l’Ajuntament de Barcelona i el pes que, a nivell arxivístic, això representa.</w:t>
      </w:r>
    </w:p>
    <w:p w:rsidR="00BA33CE" w:rsidRDefault="00BA33CE" w:rsidP="005706FB">
      <w:pPr>
        <w:pStyle w:val="Pargrafdellista"/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BA33CE" w:rsidRDefault="006C5D70" w:rsidP="006C5D70">
      <w:pPr>
        <w:pStyle w:val="Pargrafdellista"/>
        <w:spacing w:after="0"/>
        <w:ind w:left="0" w:right="14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Quant a les al·legacions presentades per la Direcció del Sistema Municipal d’Arxius aquestes, com ja s’ha dit es donen per íntegrament reproduïdes. En tot cas, i com a millora d’estil, se suggereix ordenar les al·legacions de tal manera que la primera </w:t>
      </w:r>
      <w:r>
        <w:rPr>
          <w:rFonts w:ascii="Arial" w:eastAsia="Times New Roman" w:hAnsi="Arial" w:cs="Arial"/>
          <w:lang w:eastAsia="es-ES"/>
        </w:rPr>
        <w:lastRenderedPageBreak/>
        <w:t>sigui respecte del títol de la Llei i la última sigui la relacionada amb l’afegitó d’una nova Disposició Addicional.</w:t>
      </w:r>
    </w:p>
    <w:p w:rsidR="006C5D70" w:rsidRDefault="006C5D70" w:rsidP="006C5D70">
      <w:pPr>
        <w:pStyle w:val="Pargrafdellista"/>
        <w:spacing w:after="0"/>
        <w:ind w:left="0" w:right="140"/>
        <w:jc w:val="both"/>
        <w:rPr>
          <w:rFonts w:ascii="Arial" w:eastAsia="Times New Roman" w:hAnsi="Arial" w:cs="Arial"/>
          <w:lang w:eastAsia="es-ES"/>
        </w:rPr>
      </w:pPr>
    </w:p>
    <w:p w:rsidR="006C5D70" w:rsidRDefault="006C5D70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1868F6" w:rsidRPr="001868F6" w:rsidRDefault="001868F6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  <w:r w:rsidRPr="001868F6">
        <w:rPr>
          <w:rFonts w:ascii="Arial" w:eastAsia="Times New Roman" w:hAnsi="Arial" w:cs="Arial"/>
          <w:lang w:eastAsia="es-ES"/>
        </w:rPr>
        <w:t xml:space="preserve">Barcelona, </w:t>
      </w:r>
      <w:r w:rsidR="006C5D70">
        <w:rPr>
          <w:rFonts w:ascii="Arial" w:eastAsia="Times New Roman" w:hAnsi="Arial" w:cs="Arial"/>
          <w:lang w:eastAsia="es-ES"/>
        </w:rPr>
        <w:t xml:space="preserve">13 de juliol de </w:t>
      </w:r>
      <w:r w:rsidRPr="001868F6">
        <w:rPr>
          <w:rFonts w:ascii="Arial" w:eastAsia="Times New Roman" w:hAnsi="Arial" w:cs="Arial"/>
          <w:lang w:eastAsia="es-ES"/>
        </w:rPr>
        <w:t>2015.</w:t>
      </w:r>
    </w:p>
    <w:p w:rsidR="001868F6" w:rsidRDefault="001868F6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24239B" w:rsidRDefault="0024239B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24239B" w:rsidRDefault="0024239B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24239B" w:rsidRDefault="0024239B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1868F6" w:rsidRPr="001868F6" w:rsidRDefault="001868F6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p w:rsidR="001868F6" w:rsidRPr="001868F6" w:rsidRDefault="001868F6" w:rsidP="001868F6">
      <w:pPr>
        <w:spacing w:after="0"/>
        <w:ind w:right="140"/>
        <w:jc w:val="both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8F6" w:rsidRPr="001868F6" w:rsidTr="00ED4E54"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both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</w:p>
        </w:tc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right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  <w:r w:rsidRPr="001868F6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Vist i plau</w:t>
            </w:r>
          </w:p>
        </w:tc>
      </w:tr>
      <w:tr w:rsidR="001868F6" w:rsidRPr="001868F6" w:rsidTr="00ED4E54"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both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  <w:r w:rsidRPr="001868F6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Sandra Abad Garcia</w:t>
            </w:r>
          </w:p>
        </w:tc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right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  <w:r w:rsidRPr="001868F6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Manuel Mallo Gómez</w:t>
            </w:r>
          </w:p>
        </w:tc>
      </w:tr>
      <w:tr w:rsidR="001868F6" w:rsidRPr="001868F6" w:rsidTr="00ED4E54"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both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  <w:r w:rsidRPr="001868F6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Lletrada Consistorial</w:t>
            </w:r>
          </w:p>
        </w:tc>
        <w:tc>
          <w:tcPr>
            <w:tcW w:w="4322" w:type="dxa"/>
          </w:tcPr>
          <w:p w:rsidR="001868F6" w:rsidRPr="001868F6" w:rsidRDefault="001868F6" w:rsidP="001868F6">
            <w:pPr>
              <w:spacing w:after="0"/>
              <w:ind w:right="-1"/>
              <w:jc w:val="right"/>
              <w:rPr>
                <w:rFonts w:ascii="Arial" w:eastAsia="Times New Roman" w:hAnsi="Arial" w:cs="Arial"/>
                <w:noProof/>
                <w:color w:val="000000"/>
                <w:lang w:eastAsia="es-ES"/>
              </w:rPr>
            </w:pPr>
            <w:r w:rsidRPr="001868F6"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t>Director de l’Àrea de Règim Jurídic</w:t>
            </w:r>
          </w:p>
        </w:tc>
      </w:tr>
    </w:tbl>
    <w:p w:rsidR="001868F6" w:rsidRPr="00BA3DD2" w:rsidRDefault="001868F6" w:rsidP="00092141">
      <w:pPr>
        <w:jc w:val="both"/>
        <w:rPr>
          <w:rFonts w:ascii="Arial" w:hAnsi="Arial" w:cs="Arial"/>
        </w:rPr>
      </w:pPr>
    </w:p>
    <w:sectPr w:rsidR="001868F6" w:rsidRPr="00BA3D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61" w:rsidRDefault="00565261" w:rsidP="0008225D">
      <w:pPr>
        <w:spacing w:after="0" w:line="240" w:lineRule="auto"/>
      </w:pPr>
      <w:r>
        <w:separator/>
      </w:r>
    </w:p>
  </w:endnote>
  <w:endnote w:type="continuationSeparator" w:id="0">
    <w:p w:rsidR="00565261" w:rsidRDefault="00565261" w:rsidP="000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9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D5877" w:rsidRPr="006D5877" w:rsidRDefault="006D5877">
        <w:pPr>
          <w:pStyle w:val="Peu"/>
          <w:jc w:val="right"/>
          <w:rPr>
            <w:sz w:val="18"/>
            <w:szCs w:val="18"/>
          </w:rPr>
        </w:pPr>
        <w:r w:rsidRPr="006D5877">
          <w:rPr>
            <w:sz w:val="18"/>
            <w:szCs w:val="18"/>
          </w:rPr>
          <w:fldChar w:fldCharType="begin"/>
        </w:r>
        <w:r w:rsidRPr="006D5877">
          <w:rPr>
            <w:sz w:val="18"/>
            <w:szCs w:val="18"/>
          </w:rPr>
          <w:instrText>PAGE   \* MERGEFORMAT</w:instrText>
        </w:r>
        <w:r w:rsidRPr="006D5877">
          <w:rPr>
            <w:sz w:val="18"/>
            <w:szCs w:val="18"/>
          </w:rPr>
          <w:fldChar w:fldCharType="separate"/>
        </w:r>
        <w:r w:rsidR="00107970">
          <w:rPr>
            <w:noProof/>
            <w:sz w:val="18"/>
            <w:szCs w:val="18"/>
          </w:rPr>
          <w:t>1</w:t>
        </w:r>
        <w:r w:rsidRPr="006D5877">
          <w:rPr>
            <w:sz w:val="18"/>
            <w:szCs w:val="18"/>
          </w:rPr>
          <w:fldChar w:fldCharType="end"/>
        </w:r>
      </w:p>
    </w:sdtContent>
  </w:sdt>
  <w:p w:rsidR="006D5877" w:rsidRDefault="006D587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61" w:rsidRDefault="00565261" w:rsidP="0008225D">
      <w:pPr>
        <w:spacing w:after="0" w:line="240" w:lineRule="auto"/>
      </w:pPr>
      <w:r>
        <w:separator/>
      </w:r>
    </w:p>
  </w:footnote>
  <w:footnote w:type="continuationSeparator" w:id="0">
    <w:p w:rsidR="00565261" w:rsidRDefault="00565261" w:rsidP="0008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  <w:r>
      <w:rPr>
        <w:rFonts w:ascii="Times New Roman" w:eastAsia="Times New Roman" w:hAnsi="Times New Roman" w:cs="Arial"/>
        <w:b/>
        <w:noProof/>
        <w:sz w:val="15"/>
        <w:szCs w:val="15"/>
        <w:lang w:eastAsia="ca-ES"/>
      </w:rPr>
      <w:drawing>
        <wp:anchor distT="0" distB="0" distL="114300" distR="114300" simplePos="0" relativeHeight="251658240" behindDoc="0" locked="0" layoutInCell="1" allowOverlap="1" wp14:anchorId="45B8FE9D" wp14:editId="650CB017">
          <wp:simplePos x="0" y="0"/>
          <wp:positionH relativeFrom="page">
            <wp:posOffset>664845</wp:posOffset>
          </wp:positionH>
          <wp:positionV relativeFrom="page">
            <wp:posOffset>571500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  <w:r w:rsidRPr="0008225D">
      <w:rPr>
        <w:rFonts w:ascii="Times New Roman" w:eastAsia="Times New Roman" w:hAnsi="Times New Roman" w:cs="Arial"/>
        <w:b/>
        <w:noProof/>
        <w:sz w:val="15"/>
        <w:szCs w:val="15"/>
        <w:lang w:eastAsia="es-ES"/>
      </w:rPr>
      <w:t>GERÈNCIA DE RECURSOS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  <w:r w:rsidRPr="0008225D">
      <w:rPr>
        <w:rFonts w:ascii="Times New Roman" w:eastAsia="Times New Roman" w:hAnsi="Times New Roman" w:cs="Arial"/>
        <w:b/>
        <w:noProof/>
        <w:sz w:val="15"/>
        <w:szCs w:val="15"/>
        <w:lang w:eastAsia="es-ES"/>
      </w:rPr>
      <w:t>Direcció  dels  Serveis  Jurídics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  <w:r w:rsidRPr="0008225D">
      <w:rPr>
        <w:rFonts w:ascii="Times New Roman" w:eastAsia="Times New Roman" w:hAnsi="Times New Roman" w:cs="Arial"/>
        <w:b/>
        <w:noProof/>
        <w:sz w:val="15"/>
        <w:szCs w:val="15"/>
        <w:lang w:eastAsia="es-ES"/>
      </w:rPr>
      <w:t>Direcció de l’Àrea de Règim Jurídic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b/>
        <w:noProof/>
        <w:sz w:val="15"/>
        <w:szCs w:val="15"/>
        <w:lang w:eastAsia="es-ES"/>
      </w:rPr>
    </w:pP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noProof/>
        <w:sz w:val="14"/>
        <w:szCs w:val="16"/>
        <w:lang w:eastAsia="es-ES"/>
      </w:rPr>
    </w:pPr>
    <w:r w:rsidRPr="0008225D">
      <w:rPr>
        <w:rFonts w:ascii="Times New Roman" w:eastAsia="Times New Roman" w:hAnsi="Times New Roman" w:cs="Arial"/>
        <w:noProof/>
        <w:sz w:val="14"/>
        <w:szCs w:val="16"/>
        <w:lang w:eastAsia="es-ES"/>
      </w:rPr>
      <w:t>Pl. Carles Pi i Sunyer, 8-10,  1a planta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noProof/>
        <w:sz w:val="14"/>
        <w:szCs w:val="16"/>
        <w:lang w:eastAsia="es-ES"/>
      </w:rPr>
    </w:pPr>
    <w:r w:rsidRPr="0008225D">
      <w:rPr>
        <w:rFonts w:ascii="Times New Roman" w:eastAsia="Times New Roman" w:hAnsi="Times New Roman" w:cs="Arial"/>
        <w:noProof/>
        <w:sz w:val="14"/>
        <w:szCs w:val="16"/>
        <w:lang w:eastAsia="es-ES"/>
      </w:rPr>
      <w:t>08002 Barcelona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noProof/>
        <w:sz w:val="14"/>
        <w:szCs w:val="16"/>
        <w:lang w:eastAsia="es-ES"/>
      </w:rPr>
    </w:pPr>
    <w:r w:rsidRPr="0008225D">
      <w:rPr>
        <w:rFonts w:ascii="Times New Roman" w:eastAsia="Times New Roman" w:hAnsi="Times New Roman" w:cs="Arial"/>
        <w:noProof/>
        <w:sz w:val="14"/>
        <w:szCs w:val="16"/>
        <w:lang w:eastAsia="es-ES"/>
      </w:rPr>
      <w:t>Tel. 93 402 33 92</w:t>
    </w:r>
  </w:p>
  <w:p w:rsidR="0008225D" w:rsidRPr="0008225D" w:rsidRDefault="0008225D" w:rsidP="0008225D">
    <w:pPr>
      <w:spacing w:after="0" w:line="240" w:lineRule="auto"/>
      <w:rPr>
        <w:rFonts w:ascii="Times New Roman" w:eastAsia="Times New Roman" w:hAnsi="Times New Roman" w:cs="Arial"/>
        <w:noProof/>
        <w:sz w:val="14"/>
        <w:szCs w:val="16"/>
        <w:lang w:eastAsia="es-ES"/>
      </w:rPr>
    </w:pPr>
    <w:r w:rsidRPr="0008225D">
      <w:rPr>
        <w:rFonts w:ascii="Times New Roman" w:eastAsia="Times New Roman" w:hAnsi="Times New Roman" w:cs="Arial"/>
        <w:noProof/>
        <w:sz w:val="14"/>
        <w:szCs w:val="16"/>
        <w:lang w:eastAsia="es-ES"/>
      </w:rPr>
      <w:t>Fax 93 402 34 67</w:t>
    </w:r>
  </w:p>
  <w:p w:rsidR="0008225D" w:rsidRDefault="0008225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AC"/>
    <w:multiLevelType w:val="hybridMultilevel"/>
    <w:tmpl w:val="A612AE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2F2D"/>
    <w:multiLevelType w:val="hybridMultilevel"/>
    <w:tmpl w:val="FD4E207A"/>
    <w:lvl w:ilvl="0" w:tplc="920095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4A"/>
    <w:rsid w:val="00026BE4"/>
    <w:rsid w:val="00064C33"/>
    <w:rsid w:val="0008225D"/>
    <w:rsid w:val="00092141"/>
    <w:rsid w:val="000D083F"/>
    <w:rsid w:val="000D43FD"/>
    <w:rsid w:val="000D47B2"/>
    <w:rsid w:val="000F430D"/>
    <w:rsid w:val="00107970"/>
    <w:rsid w:val="001279E4"/>
    <w:rsid w:val="00164D1B"/>
    <w:rsid w:val="001868F6"/>
    <w:rsid w:val="001A06AC"/>
    <w:rsid w:val="001E3CC0"/>
    <w:rsid w:val="0021517D"/>
    <w:rsid w:val="0024239B"/>
    <w:rsid w:val="00253F76"/>
    <w:rsid w:val="002A44CA"/>
    <w:rsid w:val="002D4DD1"/>
    <w:rsid w:val="002F72DD"/>
    <w:rsid w:val="0032538B"/>
    <w:rsid w:val="003A7B10"/>
    <w:rsid w:val="004159C5"/>
    <w:rsid w:val="00464F86"/>
    <w:rsid w:val="00495AD8"/>
    <w:rsid w:val="004B4B22"/>
    <w:rsid w:val="004F0391"/>
    <w:rsid w:val="0055575B"/>
    <w:rsid w:val="00565261"/>
    <w:rsid w:val="005706FB"/>
    <w:rsid w:val="005B38E7"/>
    <w:rsid w:val="005B3FF8"/>
    <w:rsid w:val="005B4E9C"/>
    <w:rsid w:val="00675C61"/>
    <w:rsid w:val="006A02AC"/>
    <w:rsid w:val="006C5D70"/>
    <w:rsid w:val="006D5877"/>
    <w:rsid w:val="006F3317"/>
    <w:rsid w:val="00745EB9"/>
    <w:rsid w:val="007C3056"/>
    <w:rsid w:val="00841C69"/>
    <w:rsid w:val="00906E46"/>
    <w:rsid w:val="00954FCB"/>
    <w:rsid w:val="009F3EEF"/>
    <w:rsid w:val="00A07FF5"/>
    <w:rsid w:val="00A81CD8"/>
    <w:rsid w:val="00A9790D"/>
    <w:rsid w:val="00B06CCE"/>
    <w:rsid w:val="00B244F7"/>
    <w:rsid w:val="00B41481"/>
    <w:rsid w:val="00B65943"/>
    <w:rsid w:val="00B71D9B"/>
    <w:rsid w:val="00B92090"/>
    <w:rsid w:val="00BA33CE"/>
    <w:rsid w:val="00BA3DD2"/>
    <w:rsid w:val="00C36122"/>
    <w:rsid w:val="00C567FD"/>
    <w:rsid w:val="00C87C88"/>
    <w:rsid w:val="00CB6D90"/>
    <w:rsid w:val="00D4234A"/>
    <w:rsid w:val="00D77092"/>
    <w:rsid w:val="00DC1D7B"/>
    <w:rsid w:val="00DE0735"/>
    <w:rsid w:val="00DF2F68"/>
    <w:rsid w:val="00E91E27"/>
    <w:rsid w:val="00E92E47"/>
    <w:rsid w:val="00EB0305"/>
    <w:rsid w:val="00EB1673"/>
    <w:rsid w:val="00EF125C"/>
    <w:rsid w:val="00F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82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8225D"/>
  </w:style>
  <w:style w:type="paragraph" w:styleId="Peu">
    <w:name w:val="footer"/>
    <w:basedOn w:val="Normal"/>
    <w:link w:val="PeuCar"/>
    <w:uiPriority w:val="99"/>
    <w:unhideWhenUsed/>
    <w:rsid w:val="00082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8225D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81CD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81CD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81CD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F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331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B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82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8225D"/>
  </w:style>
  <w:style w:type="paragraph" w:styleId="Peu">
    <w:name w:val="footer"/>
    <w:basedOn w:val="Normal"/>
    <w:link w:val="PeuCar"/>
    <w:uiPriority w:val="99"/>
    <w:unhideWhenUsed/>
    <w:rsid w:val="000822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8225D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81CD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81CD8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81CD8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F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331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B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D43A-A124-4C15-8FC5-83D0D34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l’avantprojecte de llei pel qual es modifica la Llei 10/2001, de 13 de juliol, d’arxius i documents</dc:title>
  <dc:creator>Ajuntament de Barcelona</dc:creator>
  <cp:lastModifiedBy>Ajuntament de Barcelona</cp:lastModifiedBy>
  <cp:revision>2</cp:revision>
  <cp:lastPrinted>2015-07-13T15:25:00Z</cp:lastPrinted>
  <dcterms:created xsi:type="dcterms:W3CDTF">2015-12-24T13:47:00Z</dcterms:created>
  <dcterms:modified xsi:type="dcterms:W3CDTF">2015-12-24T13:47:00Z</dcterms:modified>
</cp:coreProperties>
</file>